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17" w:rsidRDefault="00360217" w:rsidP="009B0D63">
      <w:pPr>
        <w:spacing w:after="0"/>
        <w:jc w:val="center"/>
        <w:rPr>
          <w:rFonts w:ascii="Arial" w:hAnsi="Arial" w:cs="Arial"/>
          <w:sz w:val="24"/>
          <w:szCs w:val="24"/>
          <w:u w:val="single"/>
        </w:rPr>
      </w:pPr>
      <w:r>
        <w:rPr>
          <w:noProof/>
          <w:lang w:eastAsia="en-GB"/>
        </w:rPr>
        <w:drawing>
          <wp:inline distT="0" distB="0" distL="0" distR="0" wp14:anchorId="3F708B70" wp14:editId="75D04B01">
            <wp:extent cx="3571240" cy="1001395"/>
            <wp:effectExtent l="0" t="0" r="0" b="825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3571240" cy="1001395"/>
                    </a:xfrm>
                    <a:prstGeom prst="rect">
                      <a:avLst/>
                    </a:prstGeom>
                  </pic:spPr>
                </pic:pic>
              </a:graphicData>
            </a:graphic>
          </wp:inline>
        </w:drawing>
      </w:r>
    </w:p>
    <w:p w:rsidR="00360217" w:rsidRDefault="00360217" w:rsidP="009B0D63">
      <w:pPr>
        <w:spacing w:after="0"/>
        <w:jc w:val="center"/>
        <w:rPr>
          <w:rFonts w:ascii="Arial" w:hAnsi="Arial" w:cs="Arial"/>
          <w:sz w:val="24"/>
          <w:szCs w:val="24"/>
          <w:u w:val="single"/>
        </w:rPr>
      </w:pPr>
    </w:p>
    <w:p w:rsidR="009B0D63" w:rsidRPr="009B0D63" w:rsidRDefault="00662A33" w:rsidP="009B0D63">
      <w:pPr>
        <w:spacing w:after="0"/>
        <w:jc w:val="center"/>
        <w:rPr>
          <w:rFonts w:ascii="Arial" w:hAnsi="Arial" w:cs="Arial"/>
          <w:sz w:val="24"/>
          <w:szCs w:val="24"/>
          <w:u w:val="single"/>
        </w:rPr>
      </w:pPr>
      <w:r w:rsidRPr="009B0D63">
        <w:rPr>
          <w:rFonts w:ascii="Arial" w:hAnsi="Arial" w:cs="Arial"/>
          <w:sz w:val="24"/>
          <w:szCs w:val="24"/>
          <w:u w:val="single"/>
        </w:rPr>
        <w:t>Equality, Diversity and Inclusion</w:t>
      </w:r>
      <w:r w:rsidR="00CF4199" w:rsidRPr="009B0D63">
        <w:rPr>
          <w:rFonts w:ascii="Arial" w:hAnsi="Arial" w:cs="Arial"/>
          <w:sz w:val="24"/>
          <w:szCs w:val="24"/>
          <w:u w:val="single"/>
        </w:rPr>
        <w:t xml:space="preserve"> </w:t>
      </w:r>
    </w:p>
    <w:p w:rsidR="00662A33" w:rsidRPr="009B0D63" w:rsidRDefault="009B0D63" w:rsidP="009B0D63">
      <w:pPr>
        <w:spacing w:after="0"/>
        <w:jc w:val="center"/>
        <w:rPr>
          <w:rFonts w:ascii="Arial" w:hAnsi="Arial" w:cs="Arial"/>
          <w:sz w:val="24"/>
          <w:szCs w:val="24"/>
          <w:u w:val="single"/>
        </w:rPr>
      </w:pPr>
      <w:r w:rsidRPr="009B0D63">
        <w:rPr>
          <w:rFonts w:ascii="Arial" w:hAnsi="Arial" w:cs="Arial"/>
          <w:sz w:val="24"/>
          <w:szCs w:val="24"/>
          <w:u w:val="single"/>
        </w:rPr>
        <w:t>Annual Report 2011 – 2012</w:t>
      </w:r>
    </w:p>
    <w:p w:rsidR="009B0D63" w:rsidRDefault="009B0D63" w:rsidP="00662A33">
      <w:pPr>
        <w:spacing w:after="0"/>
        <w:rPr>
          <w:rFonts w:ascii="Arial" w:hAnsi="Arial" w:cs="Arial"/>
          <w:sz w:val="24"/>
          <w:szCs w:val="24"/>
        </w:rPr>
      </w:pPr>
    </w:p>
    <w:p w:rsidR="00F91E98" w:rsidRPr="00635BCA" w:rsidRDefault="00F91E98" w:rsidP="00662A33">
      <w:pPr>
        <w:spacing w:after="0"/>
        <w:rPr>
          <w:rFonts w:ascii="Arial" w:hAnsi="Arial" w:cs="Arial"/>
          <w:b/>
          <w:sz w:val="24"/>
          <w:szCs w:val="24"/>
          <w:u w:val="single"/>
        </w:rPr>
      </w:pPr>
      <w:r w:rsidRPr="00635BCA">
        <w:rPr>
          <w:rFonts w:ascii="Arial" w:hAnsi="Arial" w:cs="Arial"/>
          <w:b/>
          <w:sz w:val="24"/>
          <w:szCs w:val="24"/>
          <w:u w:val="single"/>
        </w:rPr>
        <w:t>Contents</w:t>
      </w:r>
    </w:p>
    <w:p w:rsidR="00F91E98" w:rsidRDefault="00F91E98" w:rsidP="00F91E98">
      <w:pPr>
        <w:spacing w:after="0"/>
        <w:rPr>
          <w:rFonts w:ascii="Arial" w:hAnsi="Arial" w:cs="Arial"/>
          <w:sz w:val="24"/>
          <w:szCs w:val="24"/>
        </w:rPr>
      </w:pPr>
    </w:p>
    <w:p w:rsidR="00F655CF" w:rsidRPr="00F91E98" w:rsidRDefault="00F91E98" w:rsidP="0070481D">
      <w:pPr>
        <w:spacing w:after="0"/>
        <w:ind w:firstLine="720"/>
        <w:rPr>
          <w:rFonts w:ascii="Arial" w:hAnsi="Arial" w:cs="Arial"/>
          <w:sz w:val="24"/>
          <w:szCs w:val="24"/>
        </w:rPr>
      </w:pPr>
      <w:r>
        <w:rPr>
          <w:rFonts w:ascii="Arial" w:hAnsi="Arial" w:cs="Arial"/>
          <w:sz w:val="24"/>
          <w:szCs w:val="24"/>
        </w:rPr>
        <w:t xml:space="preserve">1.  </w:t>
      </w:r>
      <w:r w:rsidR="00882B5D" w:rsidRPr="00F91E98">
        <w:rPr>
          <w:rFonts w:ascii="Arial" w:hAnsi="Arial" w:cs="Arial"/>
          <w:sz w:val="24"/>
          <w:szCs w:val="24"/>
        </w:rPr>
        <w:t>Introduction</w:t>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p2</w:t>
      </w:r>
    </w:p>
    <w:p w:rsidR="00F91E98" w:rsidRPr="00F655CF" w:rsidRDefault="00F91E98" w:rsidP="00F91E98">
      <w:pPr>
        <w:pStyle w:val="ListParagraph"/>
        <w:spacing w:after="0"/>
        <w:rPr>
          <w:rFonts w:ascii="Arial" w:hAnsi="Arial" w:cs="Arial"/>
          <w:sz w:val="24"/>
          <w:szCs w:val="24"/>
        </w:rPr>
      </w:pPr>
    </w:p>
    <w:p w:rsidR="00F655CF" w:rsidRPr="00F91E98" w:rsidRDefault="00F91E98" w:rsidP="0070481D">
      <w:pPr>
        <w:spacing w:after="0"/>
        <w:ind w:firstLine="720"/>
        <w:rPr>
          <w:rFonts w:ascii="Arial" w:hAnsi="Arial" w:cs="Arial"/>
          <w:sz w:val="24"/>
          <w:szCs w:val="24"/>
        </w:rPr>
      </w:pPr>
      <w:r>
        <w:rPr>
          <w:rFonts w:ascii="Arial" w:hAnsi="Arial" w:cs="Arial"/>
          <w:sz w:val="24"/>
          <w:szCs w:val="24"/>
        </w:rPr>
        <w:t xml:space="preserve">2.  </w:t>
      </w:r>
      <w:r w:rsidR="00F655CF" w:rsidRPr="00F91E98">
        <w:rPr>
          <w:rFonts w:ascii="Arial" w:hAnsi="Arial" w:cs="Arial"/>
          <w:sz w:val="24"/>
          <w:szCs w:val="24"/>
        </w:rPr>
        <w:t>Legislative Compliance</w:t>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p2</w:t>
      </w:r>
    </w:p>
    <w:p w:rsidR="00074FAC" w:rsidRPr="00F655CF" w:rsidRDefault="00074FAC" w:rsidP="00F655CF">
      <w:pPr>
        <w:pStyle w:val="ListParagraph"/>
        <w:numPr>
          <w:ilvl w:val="0"/>
          <w:numId w:val="19"/>
        </w:numPr>
        <w:spacing w:after="0"/>
        <w:rPr>
          <w:rFonts w:ascii="Arial" w:hAnsi="Arial" w:cs="Arial"/>
          <w:sz w:val="24"/>
          <w:szCs w:val="24"/>
        </w:rPr>
      </w:pPr>
      <w:r w:rsidRPr="00F655CF">
        <w:rPr>
          <w:rFonts w:ascii="Arial" w:hAnsi="Arial" w:cs="Arial"/>
          <w:sz w:val="24"/>
          <w:szCs w:val="24"/>
        </w:rPr>
        <w:t>Public Sector Equality Duty</w:t>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p2</w:t>
      </w:r>
    </w:p>
    <w:p w:rsidR="00F655CF" w:rsidRPr="00F655CF" w:rsidRDefault="00F655CF" w:rsidP="00F655CF">
      <w:pPr>
        <w:pStyle w:val="ListParagraph"/>
        <w:numPr>
          <w:ilvl w:val="0"/>
          <w:numId w:val="19"/>
        </w:numPr>
        <w:spacing w:after="0"/>
        <w:rPr>
          <w:rFonts w:ascii="Arial" w:hAnsi="Arial" w:cs="Arial"/>
          <w:sz w:val="24"/>
          <w:szCs w:val="24"/>
        </w:rPr>
      </w:pPr>
      <w:r w:rsidRPr="00F655CF">
        <w:rPr>
          <w:rFonts w:ascii="Arial" w:hAnsi="Arial" w:cs="Arial"/>
          <w:sz w:val="24"/>
          <w:szCs w:val="24"/>
        </w:rPr>
        <w:t>EDI Committee</w:t>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p4</w:t>
      </w:r>
    </w:p>
    <w:p w:rsidR="00F91E98" w:rsidRDefault="00F91E98" w:rsidP="00882B5D">
      <w:pPr>
        <w:spacing w:after="0"/>
        <w:rPr>
          <w:rFonts w:ascii="Arial" w:hAnsi="Arial" w:cs="Arial"/>
          <w:sz w:val="24"/>
          <w:szCs w:val="24"/>
        </w:rPr>
      </w:pPr>
    </w:p>
    <w:p w:rsidR="00BB0E62" w:rsidRDefault="00F91E98" w:rsidP="0070481D">
      <w:pPr>
        <w:spacing w:after="0"/>
        <w:ind w:firstLine="720"/>
        <w:rPr>
          <w:rFonts w:ascii="Arial" w:hAnsi="Arial" w:cs="Arial"/>
          <w:sz w:val="24"/>
          <w:szCs w:val="24"/>
        </w:rPr>
      </w:pPr>
      <w:r>
        <w:rPr>
          <w:rFonts w:ascii="Arial" w:hAnsi="Arial" w:cs="Arial"/>
          <w:sz w:val="24"/>
          <w:szCs w:val="24"/>
        </w:rPr>
        <w:t xml:space="preserve">3.  </w:t>
      </w:r>
      <w:r w:rsidR="001C565F">
        <w:rPr>
          <w:rFonts w:ascii="Arial" w:hAnsi="Arial" w:cs="Arial"/>
          <w:sz w:val="24"/>
          <w:szCs w:val="24"/>
        </w:rPr>
        <w:t>Staff and Learner Profiles</w:t>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p5</w:t>
      </w:r>
    </w:p>
    <w:p w:rsidR="00882B5D" w:rsidRDefault="001C565F" w:rsidP="0070481D">
      <w:pPr>
        <w:spacing w:after="0"/>
        <w:ind w:left="720" w:firstLine="720"/>
        <w:rPr>
          <w:rFonts w:ascii="Arial" w:hAnsi="Arial" w:cs="Arial"/>
          <w:sz w:val="24"/>
          <w:szCs w:val="24"/>
        </w:rPr>
      </w:pPr>
      <w:r>
        <w:rPr>
          <w:rFonts w:ascii="Arial" w:hAnsi="Arial" w:cs="Arial"/>
          <w:sz w:val="24"/>
          <w:szCs w:val="24"/>
        </w:rPr>
        <w:t>a</w:t>
      </w:r>
      <w:r w:rsidR="00882B5D" w:rsidRPr="00882B5D">
        <w:rPr>
          <w:rFonts w:ascii="Arial" w:hAnsi="Arial" w:cs="Arial"/>
          <w:sz w:val="24"/>
          <w:szCs w:val="24"/>
        </w:rPr>
        <w:t>. Staff profile</w:t>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p5</w:t>
      </w:r>
    </w:p>
    <w:p w:rsidR="00882B5D" w:rsidRDefault="00882B5D" w:rsidP="00882B5D">
      <w:pPr>
        <w:spacing w:after="0"/>
        <w:rPr>
          <w:rFonts w:ascii="Arial" w:hAnsi="Arial" w:cs="Arial"/>
          <w:sz w:val="24"/>
          <w:szCs w:val="24"/>
        </w:rPr>
      </w:pPr>
      <w:r>
        <w:rPr>
          <w:rFonts w:ascii="Arial" w:hAnsi="Arial" w:cs="Arial"/>
          <w:sz w:val="24"/>
          <w:szCs w:val="24"/>
        </w:rPr>
        <w:tab/>
      </w:r>
      <w:r w:rsidR="001C565F">
        <w:rPr>
          <w:rFonts w:ascii="Arial" w:hAnsi="Arial" w:cs="Arial"/>
          <w:sz w:val="24"/>
          <w:szCs w:val="24"/>
        </w:rPr>
        <w:tab/>
      </w:r>
      <w:r w:rsidR="0070481D">
        <w:rPr>
          <w:rFonts w:ascii="Arial" w:hAnsi="Arial" w:cs="Arial"/>
          <w:sz w:val="24"/>
          <w:szCs w:val="24"/>
        </w:rPr>
        <w:tab/>
      </w:r>
      <w:r>
        <w:rPr>
          <w:rFonts w:ascii="Arial" w:hAnsi="Arial" w:cs="Arial"/>
          <w:sz w:val="24"/>
          <w:szCs w:val="24"/>
        </w:rPr>
        <w:t>Gender</w:t>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p5</w:t>
      </w:r>
    </w:p>
    <w:p w:rsidR="005C7850" w:rsidRDefault="005C7850" w:rsidP="00882B5D">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sidR="0070481D">
        <w:rPr>
          <w:rFonts w:ascii="Arial" w:hAnsi="Arial" w:cs="Arial"/>
          <w:sz w:val="24"/>
          <w:szCs w:val="24"/>
        </w:rPr>
        <w:tab/>
      </w:r>
      <w:r>
        <w:rPr>
          <w:rFonts w:ascii="Arial" w:hAnsi="Arial" w:cs="Arial"/>
          <w:sz w:val="24"/>
          <w:szCs w:val="24"/>
        </w:rPr>
        <w:t>Disability</w:t>
      </w:r>
      <w:r w:rsidR="00882B5D">
        <w:rPr>
          <w:rFonts w:ascii="Arial" w:hAnsi="Arial" w:cs="Arial"/>
          <w:sz w:val="24"/>
          <w:szCs w:val="24"/>
        </w:rPr>
        <w:tab/>
      </w:r>
      <w:r w:rsidR="001C565F">
        <w:rPr>
          <w:rFonts w:ascii="Arial" w:hAnsi="Arial" w:cs="Arial"/>
          <w:sz w:val="24"/>
          <w:szCs w:val="24"/>
        </w:rPr>
        <w:tab/>
      </w:r>
      <w:r w:rsidR="00635BCA">
        <w:rPr>
          <w:rFonts w:ascii="Arial" w:hAnsi="Arial" w:cs="Arial"/>
          <w:sz w:val="24"/>
          <w:szCs w:val="24"/>
        </w:rPr>
        <w:tab/>
      </w:r>
      <w:r w:rsidR="00635BCA">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635BCA">
        <w:rPr>
          <w:rFonts w:ascii="Arial" w:hAnsi="Arial" w:cs="Arial"/>
          <w:sz w:val="24"/>
          <w:szCs w:val="24"/>
        </w:rPr>
        <w:t>p6</w:t>
      </w:r>
    </w:p>
    <w:p w:rsidR="00882B5D" w:rsidRDefault="00882B5D" w:rsidP="0070481D">
      <w:pPr>
        <w:spacing w:after="0"/>
        <w:ind w:left="1440" w:firstLine="720"/>
        <w:rPr>
          <w:rFonts w:ascii="Arial" w:hAnsi="Arial" w:cs="Arial"/>
          <w:sz w:val="24"/>
          <w:szCs w:val="24"/>
        </w:rPr>
      </w:pPr>
      <w:r>
        <w:rPr>
          <w:rFonts w:ascii="Arial" w:hAnsi="Arial" w:cs="Arial"/>
          <w:sz w:val="24"/>
          <w:szCs w:val="24"/>
        </w:rPr>
        <w:t>Ethnicity</w:t>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42604D">
        <w:rPr>
          <w:rFonts w:ascii="Arial" w:hAnsi="Arial" w:cs="Arial"/>
          <w:sz w:val="24"/>
          <w:szCs w:val="24"/>
        </w:rPr>
        <w:t>p6</w:t>
      </w:r>
    </w:p>
    <w:p w:rsidR="00882B5D" w:rsidRPr="00882B5D" w:rsidRDefault="00882B5D" w:rsidP="00882B5D">
      <w:pPr>
        <w:spacing w:after="0"/>
        <w:rPr>
          <w:rFonts w:ascii="Arial" w:hAnsi="Arial" w:cs="Arial"/>
          <w:sz w:val="24"/>
          <w:szCs w:val="24"/>
        </w:rPr>
      </w:pPr>
      <w:r>
        <w:rPr>
          <w:rFonts w:ascii="Arial" w:hAnsi="Arial" w:cs="Arial"/>
          <w:sz w:val="24"/>
          <w:szCs w:val="24"/>
        </w:rPr>
        <w:tab/>
      </w:r>
      <w:r w:rsidR="001C565F">
        <w:rPr>
          <w:rFonts w:ascii="Arial" w:hAnsi="Arial" w:cs="Arial"/>
          <w:sz w:val="24"/>
          <w:szCs w:val="24"/>
        </w:rPr>
        <w:tab/>
      </w:r>
      <w:r w:rsidRPr="00882B5D">
        <w:rPr>
          <w:rFonts w:ascii="Arial" w:hAnsi="Arial" w:cs="Arial"/>
          <w:sz w:val="24"/>
          <w:szCs w:val="24"/>
        </w:rPr>
        <w:t xml:space="preserve"> </w:t>
      </w:r>
      <w:r w:rsidRPr="00882B5D">
        <w:rPr>
          <w:rFonts w:ascii="Arial" w:hAnsi="Arial" w:cs="Arial"/>
          <w:sz w:val="24"/>
          <w:szCs w:val="24"/>
        </w:rPr>
        <w:tab/>
      </w:r>
      <w:r w:rsidRPr="00882B5D">
        <w:rPr>
          <w:rFonts w:ascii="Arial" w:hAnsi="Arial" w:cs="Arial"/>
          <w:sz w:val="24"/>
          <w:szCs w:val="24"/>
        </w:rPr>
        <w:tab/>
      </w:r>
      <w:r w:rsidRPr="00882B5D">
        <w:rPr>
          <w:rFonts w:ascii="Arial" w:hAnsi="Arial" w:cs="Arial"/>
          <w:sz w:val="24"/>
          <w:szCs w:val="24"/>
        </w:rPr>
        <w:tab/>
      </w:r>
      <w:r w:rsidRPr="00882B5D">
        <w:rPr>
          <w:rFonts w:ascii="Arial" w:hAnsi="Arial" w:cs="Arial"/>
          <w:sz w:val="24"/>
          <w:szCs w:val="24"/>
        </w:rPr>
        <w:tab/>
      </w:r>
      <w:r w:rsidRPr="00882B5D">
        <w:rPr>
          <w:rFonts w:ascii="Arial" w:hAnsi="Arial" w:cs="Arial"/>
          <w:sz w:val="24"/>
          <w:szCs w:val="24"/>
        </w:rPr>
        <w:tab/>
      </w:r>
      <w:r w:rsidRPr="00882B5D">
        <w:rPr>
          <w:rFonts w:ascii="Arial" w:hAnsi="Arial" w:cs="Arial"/>
          <w:sz w:val="24"/>
          <w:szCs w:val="24"/>
        </w:rPr>
        <w:tab/>
      </w:r>
      <w:r w:rsidRPr="00882B5D">
        <w:rPr>
          <w:rFonts w:ascii="Arial" w:hAnsi="Arial" w:cs="Arial"/>
          <w:sz w:val="24"/>
          <w:szCs w:val="24"/>
        </w:rPr>
        <w:tab/>
      </w:r>
    </w:p>
    <w:p w:rsidR="00882B5D" w:rsidRPr="00882B5D" w:rsidRDefault="001C565F" w:rsidP="0070481D">
      <w:pPr>
        <w:spacing w:after="0"/>
        <w:ind w:left="720" w:firstLine="720"/>
        <w:rPr>
          <w:rFonts w:ascii="Arial" w:hAnsi="Arial" w:cs="Arial"/>
          <w:sz w:val="24"/>
          <w:szCs w:val="24"/>
        </w:rPr>
      </w:pPr>
      <w:r>
        <w:rPr>
          <w:rFonts w:ascii="Arial" w:hAnsi="Arial" w:cs="Arial"/>
          <w:sz w:val="24"/>
          <w:szCs w:val="24"/>
        </w:rPr>
        <w:t>b</w:t>
      </w:r>
      <w:r w:rsidR="00882B5D">
        <w:rPr>
          <w:rFonts w:ascii="Arial" w:hAnsi="Arial" w:cs="Arial"/>
          <w:sz w:val="24"/>
          <w:szCs w:val="24"/>
        </w:rPr>
        <w:t>. Learner profile</w:t>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42604D">
        <w:rPr>
          <w:rFonts w:ascii="Arial" w:hAnsi="Arial" w:cs="Arial"/>
          <w:sz w:val="24"/>
          <w:szCs w:val="24"/>
        </w:rPr>
        <w:t>p7</w:t>
      </w:r>
    </w:p>
    <w:p w:rsidR="00882B5D" w:rsidRDefault="00882B5D" w:rsidP="00882B5D">
      <w:pPr>
        <w:spacing w:after="0"/>
        <w:rPr>
          <w:rFonts w:ascii="Arial" w:hAnsi="Arial" w:cs="Arial"/>
          <w:sz w:val="24"/>
          <w:szCs w:val="24"/>
        </w:rPr>
      </w:pPr>
      <w:r>
        <w:rPr>
          <w:rFonts w:ascii="Arial" w:hAnsi="Arial" w:cs="Arial"/>
          <w:sz w:val="24"/>
          <w:szCs w:val="24"/>
        </w:rPr>
        <w:tab/>
      </w:r>
      <w:r w:rsidR="001C565F">
        <w:rPr>
          <w:rFonts w:ascii="Arial" w:hAnsi="Arial" w:cs="Arial"/>
          <w:sz w:val="24"/>
          <w:szCs w:val="24"/>
        </w:rPr>
        <w:tab/>
      </w:r>
      <w:r w:rsidR="0070481D">
        <w:rPr>
          <w:rFonts w:ascii="Arial" w:hAnsi="Arial" w:cs="Arial"/>
          <w:sz w:val="24"/>
          <w:szCs w:val="24"/>
        </w:rPr>
        <w:tab/>
      </w:r>
      <w:r>
        <w:rPr>
          <w:rFonts w:ascii="Arial" w:hAnsi="Arial" w:cs="Arial"/>
          <w:sz w:val="24"/>
          <w:szCs w:val="24"/>
        </w:rPr>
        <w:t>Whole College</w:t>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42604D">
        <w:rPr>
          <w:rFonts w:ascii="Arial" w:hAnsi="Arial" w:cs="Arial"/>
          <w:sz w:val="24"/>
          <w:szCs w:val="24"/>
        </w:rPr>
        <w:t>p7</w:t>
      </w:r>
    </w:p>
    <w:p w:rsidR="003F4A75" w:rsidRDefault="00882B5D" w:rsidP="00882B5D">
      <w:pPr>
        <w:spacing w:after="0"/>
        <w:rPr>
          <w:rFonts w:ascii="Arial" w:hAnsi="Arial" w:cs="Arial"/>
          <w:sz w:val="24"/>
          <w:szCs w:val="24"/>
        </w:rPr>
      </w:pPr>
      <w:r>
        <w:rPr>
          <w:rFonts w:ascii="Arial" w:hAnsi="Arial" w:cs="Arial"/>
          <w:sz w:val="24"/>
          <w:szCs w:val="24"/>
        </w:rPr>
        <w:tab/>
      </w:r>
      <w:r w:rsidR="001C565F">
        <w:rPr>
          <w:rFonts w:ascii="Arial" w:hAnsi="Arial" w:cs="Arial"/>
          <w:sz w:val="24"/>
          <w:szCs w:val="24"/>
        </w:rPr>
        <w:tab/>
      </w:r>
      <w:r w:rsidR="0070481D">
        <w:rPr>
          <w:rFonts w:ascii="Arial" w:hAnsi="Arial" w:cs="Arial"/>
          <w:sz w:val="24"/>
          <w:szCs w:val="24"/>
        </w:rPr>
        <w:tab/>
      </w:r>
      <w:r w:rsidR="003F4A75">
        <w:rPr>
          <w:rFonts w:ascii="Arial" w:hAnsi="Arial" w:cs="Arial"/>
          <w:sz w:val="24"/>
          <w:szCs w:val="24"/>
        </w:rPr>
        <w:t>Gender</w:t>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42604D">
        <w:rPr>
          <w:rFonts w:ascii="Arial" w:hAnsi="Arial" w:cs="Arial"/>
          <w:sz w:val="24"/>
          <w:szCs w:val="24"/>
        </w:rPr>
        <w:t>p7</w:t>
      </w:r>
    </w:p>
    <w:p w:rsidR="00882B5D" w:rsidRDefault="00882B5D" w:rsidP="0070481D">
      <w:pPr>
        <w:spacing w:after="0"/>
        <w:ind w:left="1440" w:firstLine="720"/>
        <w:rPr>
          <w:rFonts w:ascii="Arial" w:hAnsi="Arial" w:cs="Arial"/>
          <w:sz w:val="24"/>
          <w:szCs w:val="24"/>
        </w:rPr>
      </w:pPr>
      <w:r>
        <w:rPr>
          <w:rFonts w:ascii="Arial" w:hAnsi="Arial" w:cs="Arial"/>
          <w:sz w:val="24"/>
          <w:szCs w:val="24"/>
        </w:rPr>
        <w:t>Disability</w:t>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42604D">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42604D">
        <w:rPr>
          <w:rFonts w:ascii="Arial" w:hAnsi="Arial" w:cs="Arial"/>
          <w:sz w:val="24"/>
          <w:szCs w:val="24"/>
        </w:rPr>
        <w:t>p8</w:t>
      </w:r>
    </w:p>
    <w:p w:rsidR="00882B5D" w:rsidRDefault="00882B5D" w:rsidP="00882B5D">
      <w:pPr>
        <w:spacing w:after="0"/>
        <w:rPr>
          <w:rFonts w:ascii="Arial" w:hAnsi="Arial" w:cs="Arial"/>
          <w:sz w:val="24"/>
          <w:szCs w:val="24"/>
        </w:rPr>
      </w:pPr>
      <w:r>
        <w:rPr>
          <w:rFonts w:ascii="Arial" w:hAnsi="Arial" w:cs="Arial"/>
          <w:sz w:val="24"/>
          <w:szCs w:val="24"/>
        </w:rPr>
        <w:tab/>
      </w:r>
      <w:r w:rsidR="0070481D">
        <w:rPr>
          <w:rFonts w:ascii="Arial" w:hAnsi="Arial" w:cs="Arial"/>
          <w:sz w:val="24"/>
          <w:szCs w:val="24"/>
        </w:rPr>
        <w:tab/>
      </w:r>
      <w:r w:rsidR="001C565F">
        <w:rPr>
          <w:rFonts w:ascii="Arial" w:hAnsi="Arial" w:cs="Arial"/>
          <w:sz w:val="24"/>
          <w:szCs w:val="24"/>
        </w:rPr>
        <w:tab/>
      </w:r>
      <w:r>
        <w:rPr>
          <w:rFonts w:ascii="Arial" w:hAnsi="Arial" w:cs="Arial"/>
          <w:sz w:val="24"/>
          <w:szCs w:val="24"/>
        </w:rPr>
        <w:t>Ethnicity</w:t>
      </w:r>
      <w:r w:rsidR="00AA1332">
        <w:rPr>
          <w:rFonts w:ascii="Arial" w:hAnsi="Arial" w:cs="Arial"/>
          <w:sz w:val="24"/>
          <w:szCs w:val="24"/>
        </w:rPr>
        <w:tab/>
      </w:r>
      <w:r w:rsidR="00AA1332">
        <w:rPr>
          <w:rFonts w:ascii="Arial" w:hAnsi="Arial" w:cs="Arial"/>
          <w:sz w:val="24"/>
          <w:szCs w:val="24"/>
        </w:rPr>
        <w:tab/>
      </w:r>
      <w:r w:rsidR="00AA1332">
        <w:rPr>
          <w:rFonts w:ascii="Arial" w:hAnsi="Arial" w:cs="Arial"/>
          <w:sz w:val="24"/>
          <w:szCs w:val="24"/>
        </w:rPr>
        <w:tab/>
      </w:r>
      <w:r w:rsidR="00AA1332">
        <w:rPr>
          <w:rFonts w:ascii="Arial" w:hAnsi="Arial" w:cs="Arial"/>
          <w:sz w:val="24"/>
          <w:szCs w:val="24"/>
        </w:rPr>
        <w:tab/>
      </w:r>
      <w:r w:rsidR="0070481D">
        <w:rPr>
          <w:rFonts w:ascii="Arial" w:hAnsi="Arial" w:cs="Arial"/>
          <w:sz w:val="24"/>
          <w:szCs w:val="24"/>
        </w:rPr>
        <w:tab/>
      </w:r>
      <w:r w:rsidR="0070481D">
        <w:rPr>
          <w:rFonts w:ascii="Arial" w:hAnsi="Arial" w:cs="Arial"/>
          <w:sz w:val="24"/>
          <w:szCs w:val="24"/>
        </w:rPr>
        <w:tab/>
      </w:r>
      <w:r w:rsidR="00AA1332">
        <w:rPr>
          <w:rFonts w:ascii="Arial" w:hAnsi="Arial" w:cs="Arial"/>
          <w:sz w:val="24"/>
          <w:szCs w:val="24"/>
        </w:rPr>
        <w:t>p9</w:t>
      </w:r>
    </w:p>
    <w:p w:rsidR="00882B5D" w:rsidRDefault="00882B5D" w:rsidP="00882B5D">
      <w:pPr>
        <w:spacing w:after="0"/>
        <w:rPr>
          <w:rFonts w:ascii="Arial" w:hAnsi="Arial" w:cs="Arial"/>
          <w:sz w:val="24"/>
          <w:szCs w:val="24"/>
        </w:rPr>
      </w:pPr>
      <w:r>
        <w:rPr>
          <w:rFonts w:ascii="Arial" w:hAnsi="Arial" w:cs="Arial"/>
          <w:sz w:val="24"/>
          <w:szCs w:val="24"/>
        </w:rPr>
        <w:tab/>
      </w:r>
      <w:r w:rsidR="001C565F">
        <w:rPr>
          <w:rFonts w:ascii="Arial" w:hAnsi="Arial" w:cs="Arial"/>
          <w:sz w:val="24"/>
          <w:szCs w:val="24"/>
        </w:rPr>
        <w:tab/>
      </w:r>
    </w:p>
    <w:p w:rsidR="00882B5D" w:rsidRDefault="00635BCA" w:rsidP="0070481D">
      <w:pPr>
        <w:spacing w:after="0"/>
        <w:ind w:firstLine="720"/>
        <w:rPr>
          <w:rFonts w:ascii="Arial" w:hAnsi="Arial" w:cs="Arial"/>
          <w:sz w:val="24"/>
          <w:szCs w:val="24"/>
        </w:rPr>
      </w:pPr>
      <w:r>
        <w:rPr>
          <w:rFonts w:ascii="Arial" w:hAnsi="Arial" w:cs="Arial"/>
          <w:sz w:val="24"/>
          <w:szCs w:val="24"/>
        </w:rPr>
        <w:t xml:space="preserve">4.  </w:t>
      </w:r>
      <w:r w:rsidR="00BC6A21">
        <w:rPr>
          <w:rFonts w:ascii="Arial" w:hAnsi="Arial" w:cs="Arial"/>
          <w:sz w:val="24"/>
          <w:szCs w:val="24"/>
        </w:rPr>
        <w:t xml:space="preserve">Actions of the </w:t>
      </w:r>
      <w:r w:rsidR="00882B5D">
        <w:rPr>
          <w:rFonts w:ascii="Arial" w:hAnsi="Arial" w:cs="Arial"/>
          <w:sz w:val="24"/>
          <w:szCs w:val="24"/>
        </w:rPr>
        <w:t>EDI Team</w:t>
      </w:r>
      <w:r w:rsidR="00BC6A21">
        <w:rPr>
          <w:rFonts w:ascii="Arial" w:hAnsi="Arial" w:cs="Arial"/>
          <w:sz w:val="24"/>
          <w:szCs w:val="24"/>
        </w:rPr>
        <w:t xml:space="preserve"> during 2012</w:t>
      </w:r>
      <w:r w:rsidR="009F5BF2">
        <w:rPr>
          <w:rFonts w:ascii="Arial" w:hAnsi="Arial" w:cs="Arial"/>
          <w:sz w:val="24"/>
          <w:szCs w:val="24"/>
        </w:rPr>
        <w:tab/>
      </w:r>
      <w:r w:rsidR="00C21F62">
        <w:rPr>
          <w:rFonts w:ascii="Arial" w:hAnsi="Arial" w:cs="Arial"/>
          <w:sz w:val="24"/>
          <w:szCs w:val="24"/>
        </w:rPr>
        <w:tab/>
      </w:r>
      <w:r w:rsidR="009F5BF2">
        <w:rPr>
          <w:rFonts w:ascii="Arial" w:hAnsi="Arial" w:cs="Arial"/>
          <w:sz w:val="24"/>
          <w:szCs w:val="24"/>
        </w:rPr>
        <w:tab/>
      </w:r>
      <w:r w:rsidR="0070481D">
        <w:rPr>
          <w:rFonts w:ascii="Arial" w:hAnsi="Arial" w:cs="Arial"/>
          <w:sz w:val="24"/>
          <w:szCs w:val="24"/>
        </w:rPr>
        <w:tab/>
      </w:r>
      <w:r w:rsidR="009F5BF2">
        <w:rPr>
          <w:rFonts w:ascii="Arial" w:hAnsi="Arial" w:cs="Arial"/>
          <w:sz w:val="24"/>
          <w:szCs w:val="24"/>
        </w:rPr>
        <w:t>p1</w:t>
      </w:r>
      <w:r w:rsidR="00B74048">
        <w:rPr>
          <w:rFonts w:ascii="Arial" w:hAnsi="Arial" w:cs="Arial"/>
          <w:sz w:val="24"/>
          <w:szCs w:val="24"/>
        </w:rPr>
        <w:t>3</w:t>
      </w:r>
      <w:r w:rsidR="00AA1332">
        <w:rPr>
          <w:rFonts w:ascii="Arial" w:hAnsi="Arial" w:cs="Arial"/>
          <w:sz w:val="24"/>
          <w:szCs w:val="24"/>
        </w:rPr>
        <w:tab/>
      </w:r>
      <w:r w:rsidR="00AA1332">
        <w:rPr>
          <w:rFonts w:ascii="Arial" w:hAnsi="Arial" w:cs="Arial"/>
          <w:sz w:val="24"/>
          <w:szCs w:val="24"/>
        </w:rPr>
        <w:tab/>
      </w:r>
    </w:p>
    <w:p w:rsidR="00F91E98" w:rsidRDefault="00F91E98" w:rsidP="0070481D">
      <w:pPr>
        <w:spacing w:after="0"/>
        <w:ind w:left="720" w:firstLine="720"/>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Policy Review</w:t>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3</w:t>
      </w:r>
    </w:p>
    <w:p w:rsidR="00882B5D" w:rsidRDefault="00F91E98" w:rsidP="0070481D">
      <w:pPr>
        <w:spacing w:after="0"/>
        <w:ind w:left="720" w:firstLine="720"/>
        <w:rPr>
          <w:rFonts w:ascii="Arial" w:hAnsi="Arial" w:cs="Arial"/>
          <w:sz w:val="24"/>
          <w:szCs w:val="24"/>
        </w:rPr>
      </w:pPr>
      <w:r>
        <w:rPr>
          <w:rFonts w:ascii="Arial" w:hAnsi="Arial" w:cs="Arial"/>
          <w:sz w:val="24"/>
          <w:szCs w:val="24"/>
        </w:rPr>
        <w:t xml:space="preserve">b. </w:t>
      </w:r>
      <w:r w:rsidR="00BC6A21">
        <w:rPr>
          <w:rFonts w:ascii="Arial" w:hAnsi="Arial" w:cs="Arial"/>
          <w:sz w:val="24"/>
          <w:szCs w:val="24"/>
        </w:rPr>
        <w:t>Promoting EDI</w:t>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3</w:t>
      </w:r>
    </w:p>
    <w:p w:rsidR="00882B5D" w:rsidRDefault="00F91E98" w:rsidP="0070481D">
      <w:pPr>
        <w:spacing w:after="0"/>
        <w:ind w:left="720" w:firstLine="720"/>
        <w:rPr>
          <w:rFonts w:ascii="Arial" w:hAnsi="Arial" w:cs="Arial"/>
          <w:sz w:val="24"/>
          <w:szCs w:val="24"/>
        </w:rPr>
      </w:pPr>
      <w:r>
        <w:rPr>
          <w:rFonts w:ascii="Arial" w:hAnsi="Arial" w:cs="Arial"/>
          <w:sz w:val="24"/>
          <w:szCs w:val="24"/>
        </w:rPr>
        <w:t xml:space="preserve">c. </w:t>
      </w:r>
      <w:r w:rsidR="00882B5D">
        <w:rPr>
          <w:rFonts w:ascii="Arial" w:hAnsi="Arial" w:cs="Arial"/>
          <w:sz w:val="24"/>
          <w:szCs w:val="24"/>
        </w:rPr>
        <w:t>Engaging Learners</w:t>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4</w:t>
      </w:r>
    </w:p>
    <w:p w:rsidR="00882B5D" w:rsidRDefault="00F91E98" w:rsidP="0070481D">
      <w:pPr>
        <w:spacing w:after="0"/>
        <w:ind w:left="720" w:firstLine="720"/>
        <w:rPr>
          <w:rFonts w:ascii="Arial" w:hAnsi="Arial" w:cs="Arial"/>
          <w:sz w:val="24"/>
          <w:szCs w:val="24"/>
        </w:rPr>
      </w:pPr>
      <w:r>
        <w:rPr>
          <w:rFonts w:ascii="Arial" w:hAnsi="Arial" w:cs="Arial"/>
          <w:sz w:val="24"/>
          <w:szCs w:val="24"/>
        </w:rPr>
        <w:t>d. Training and Development</w:t>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5</w:t>
      </w:r>
    </w:p>
    <w:p w:rsidR="00F91E98" w:rsidRDefault="00F91E98" w:rsidP="0070481D">
      <w:pPr>
        <w:spacing w:after="0"/>
        <w:ind w:left="720" w:firstLine="720"/>
        <w:rPr>
          <w:rFonts w:ascii="Arial" w:hAnsi="Arial" w:cs="Arial"/>
          <w:sz w:val="24"/>
          <w:szCs w:val="24"/>
        </w:rPr>
      </w:pPr>
      <w:r>
        <w:rPr>
          <w:rFonts w:ascii="Arial" w:hAnsi="Arial" w:cs="Arial"/>
          <w:sz w:val="24"/>
          <w:szCs w:val="24"/>
        </w:rPr>
        <w:t>e. Investors in Diversity</w:t>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5</w:t>
      </w:r>
    </w:p>
    <w:p w:rsidR="00F91E98" w:rsidRDefault="00F91E98" w:rsidP="0070481D">
      <w:pPr>
        <w:spacing w:after="0"/>
        <w:ind w:left="720" w:firstLine="720"/>
        <w:rPr>
          <w:rFonts w:ascii="Arial" w:hAnsi="Arial" w:cs="Arial"/>
          <w:sz w:val="24"/>
          <w:szCs w:val="24"/>
        </w:rPr>
      </w:pPr>
      <w:r>
        <w:rPr>
          <w:rFonts w:ascii="Arial" w:hAnsi="Arial" w:cs="Arial"/>
          <w:sz w:val="24"/>
          <w:szCs w:val="24"/>
        </w:rPr>
        <w:t xml:space="preserve">f. Action </w:t>
      </w:r>
      <w:proofErr w:type="gramStart"/>
      <w:r>
        <w:rPr>
          <w:rFonts w:ascii="Arial" w:hAnsi="Arial" w:cs="Arial"/>
          <w:sz w:val="24"/>
          <w:szCs w:val="24"/>
        </w:rPr>
        <w:t>Planning</w:t>
      </w:r>
      <w:proofErr w:type="gramEnd"/>
      <w:r>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6</w:t>
      </w:r>
    </w:p>
    <w:p w:rsidR="00F91E98" w:rsidRDefault="00F91E98" w:rsidP="0070481D">
      <w:pPr>
        <w:spacing w:after="0"/>
        <w:ind w:left="720" w:firstLine="720"/>
        <w:rPr>
          <w:rFonts w:ascii="Arial" w:hAnsi="Arial" w:cs="Arial"/>
          <w:sz w:val="24"/>
          <w:szCs w:val="24"/>
        </w:rPr>
      </w:pPr>
      <w:r>
        <w:rPr>
          <w:rFonts w:ascii="Arial" w:hAnsi="Arial" w:cs="Arial"/>
          <w:sz w:val="24"/>
          <w:szCs w:val="24"/>
        </w:rPr>
        <w:t>g. Fair Futures</w:t>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6</w:t>
      </w:r>
    </w:p>
    <w:p w:rsidR="005F29D8" w:rsidRDefault="005F29D8" w:rsidP="0070481D">
      <w:pPr>
        <w:spacing w:after="0"/>
        <w:ind w:left="720" w:firstLine="720"/>
        <w:rPr>
          <w:rFonts w:ascii="Arial" w:hAnsi="Arial" w:cs="Arial"/>
          <w:sz w:val="24"/>
          <w:szCs w:val="24"/>
        </w:rPr>
      </w:pPr>
      <w:r>
        <w:rPr>
          <w:rFonts w:ascii="Arial" w:hAnsi="Arial" w:cs="Arial"/>
          <w:sz w:val="24"/>
          <w:szCs w:val="24"/>
        </w:rPr>
        <w:t>h. Bullying and harassment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w:t>
      </w:r>
      <w:r w:rsidR="00B74048">
        <w:rPr>
          <w:rFonts w:ascii="Arial" w:hAnsi="Arial" w:cs="Arial"/>
          <w:sz w:val="24"/>
          <w:szCs w:val="24"/>
        </w:rPr>
        <w:t>17</w:t>
      </w:r>
      <w:r>
        <w:rPr>
          <w:rFonts w:ascii="Arial" w:hAnsi="Arial" w:cs="Arial"/>
          <w:sz w:val="24"/>
          <w:szCs w:val="24"/>
        </w:rPr>
        <w:tab/>
      </w:r>
    </w:p>
    <w:p w:rsidR="00882B5D" w:rsidRDefault="00882B5D" w:rsidP="00882B5D">
      <w:pPr>
        <w:spacing w:after="0"/>
        <w:rPr>
          <w:rFonts w:ascii="Arial" w:hAnsi="Arial" w:cs="Arial"/>
          <w:sz w:val="24"/>
          <w:szCs w:val="24"/>
        </w:rPr>
      </w:pPr>
    </w:p>
    <w:p w:rsidR="00F91E98" w:rsidRDefault="00635BCA" w:rsidP="0070481D">
      <w:pPr>
        <w:spacing w:after="0"/>
        <w:ind w:firstLine="720"/>
        <w:rPr>
          <w:rFonts w:ascii="Arial" w:hAnsi="Arial" w:cs="Arial"/>
          <w:sz w:val="24"/>
          <w:szCs w:val="24"/>
        </w:rPr>
      </w:pPr>
      <w:r>
        <w:rPr>
          <w:rFonts w:ascii="Arial" w:hAnsi="Arial" w:cs="Arial"/>
          <w:sz w:val="24"/>
          <w:szCs w:val="24"/>
        </w:rPr>
        <w:t xml:space="preserve">5.  </w:t>
      </w:r>
      <w:r w:rsidR="00F91E98">
        <w:rPr>
          <w:rFonts w:ascii="Arial" w:hAnsi="Arial" w:cs="Arial"/>
          <w:sz w:val="24"/>
          <w:szCs w:val="24"/>
        </w:rPr>
        <w:t>Conclusion</w:t>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C21F62">
        <w:rPr>
          <w:rFonts w:ascii="Arial" w:hAnsi="Arial" w:cs="Arial"/>
          <w:sz w:val="24"/>
          <w:szCs w:val="24"/>
        </w:rPr>
        <w:tab/>
      </w:r>
      <w:r w:rsidR="0070481D">
        <w:rPr>
          <w:rFonts w:ascii="Arial" w:hAnsi="Arial" w:cs="Arial"/>
          <w:sz w:val="24"/>
          <w:szCs w:val="24"/>
        </w:rPr>
        <w:tab/>
      </w:r>
      <w:r w:rsidR="00C21F62">
        <w:rPr>
          <w:rFonts w:ascii="Arial" w:hAnsi="Arial" w:cs="Arial"/>
          <w:sz w:val="24"/>
          <w:szCs w:val="24"/>
        </w:rPr>
        <w:t>p1</w:t>
      </w:r>
      <w:r w:rsidR="00B74048">
        <w:rPr>
          <w:rFonts w:ascii="Arial" w:hAnsi="Arial" w:cs="Arial"/>
          <w:sz w:val="24"/>
          <w:szCs w:val="24"/>
        </w:rPr>
        <w:t>7</w:t>
      </w:r>
    </w:p>
    <w:p w:rsidR="00F91E98" w:rsidRPr="00882B5D" w:rsidRDefault="00F91E98" w:rsidP="00882B5D">
      <w:pPr>
        <w:spacing w:after="0"/>
        <w:rPr>
          <w:rFonts w:ascii="Arial" w:hAnsi="Arial" w:cs="Arial"/>
          <w:sz w:val="24"/>
          <w:szCs w:val="24"/>
        </w:rPr>
      </w:pPr>
    </w:p>
    <w:p w:rsidR="00882B5D" w:rsidRDefault="00882B5D" w:rsidP="00882B5D">
      <w:pPr>
        <w:spacing w:after="0"/>
        <w:rPr>
          <w:rFonts w:ascii="Arial" w:hAnsi="Arial" w:cs="Arial"/>
          <w:sz w:val="24"/>
          <w:szCs w:val="24"/>
        </w:rPr>
      </w:pPr>
    </w:p>
    <w:p w:rsidR="00635BCA" w:rsidRDefault="00635BCA" w:rsidP="00882B5D">
      <w:pPr>
        <w:spacing w:after="0"/>
        <w:rPr>
          <w:rFonts w:ascii="Arial" w:hAnsi="Arial" w:cs="Arial"/>
          <w:b/>
          <w:sz w:val="24"/>
          <w:szCs w:val="24"/>
        </w:rPr>
      </w:pPr>
    </w:p>
    <w:p w:rsidR="00635BCA" w:rsidRDefault="00635BCA" w:rsidP="00882B5D">
      <w:pPr>
        <w:spacing w:after="0"/>
        <w:rPr>
          <w:rFonts w:ascii="Arial" w:hAnsi="Arial" w:cs="Arial"/>
          <w:b/>
          <w:sz w:val="24"/>
          <w:szCs w:val="24"/>
        </w:rPr>
      </w:pPr>
    </w:p>
    <w:p w:rsidR="00882B5D" w:rsidRPr="001156C2" w:rsidRDefault="00635BCA" w:rsidP="00882B5D">
      <w:pPr>
        <w:spacing w:after="0"/>
        <w:rPr>
          <w:rFonts w:ascii="Arial" w:hAnsi="Arial" w:cs="Arial"/>
          <w:b/>
          <w:sz w:val="24"/>
          <w:szCs w:val="24"/>
        </w:rPr>
      </w:pPr>
      <w:r>
        <w:rPr>
          <w:rFonts w:ascii="Arial" w:hAnsi="Arial" w:cs="Arial"/>
          <w:b/>
          <w:sz w:val="24"/>
          <w:szCs w:val="24"/>
        </w:rPr>
        <w:t xml:space="preserve">1.  </w:t>
      </w:r>
      <w:r w:rsidR="00882B5D" w:rsidRPr="001156C2">
        <w:rPr>
          <w:rFonts w:ascii="Arial" w:hAnsi="Arial" w:cs="Arial"/>
          <w:b/>
          <w:sz w:val="24"/>
          <w:szCs w:val="24"/>
        </w:rPr>
        <w:t>Introduction</w:t>
      </w:r>
    </w:p>
    <w:p w:rsidR="00882B5D" w:rsidRDefault="00882B5D" w:rsidP="00882B5D">
      <w:pPr>
        <w:spacing w:after="0"/>
        <w:rPr>
          <w:rFonts w:ascii="Arial" w:hAnsi="Arial" w:cs="Arial"/>
          <w:sz w:val="24"/>
          <w:szCs w:val="24"/>
        </w:rPr>
      </w:pPr>
    </w:p>
    <w:p w:rsidR="002F66DC" w:rsidRDefault="002F66DC" w:rsidP="00882B5D">
      <w:pPr>
        <w:spacing w:after="0"/>
        <w:rPr>
          <w:rFonts w:ascii="Arial" w:hAnsi="Arial" w:cs="Arial"/>
          <w:sz w:val="24"/>
          <w:szCs w:val="24"/>
        </w:rPr>
      </w:pPr>
      <w:r>
        <w:rPr>
          <w:rFonts w:ascii="Arial" w:hAnsi="Arial" w:cs="Arial"/>
          <w:sz w:val="24"/>
          <w:szCs w:val="24"/>
        </w:rPr>
        <w:t>The College has a clear statement which defines our commitment to Equality, Diversity and Inclusion</w:t>
      </w:r>
      <w:r w:rsidR="00241CF4">
        <w:rPr>
          <w:rFonts w:ascii="Arial" w:hAnsi="Arial" w:cs="Arial"/>
          <w:sz w:val="24"/>
          <w:szCs w:val="24"/>
        </w:rPr>
        <w:t xml:space="preserve"> (EDI)</w:t>
      </w:r>
      <w:r>
        <w:rPr>
          <w:rFonts w:ascii="Arial" w:hAnsi="Arial" w:cs="Arial"/>
          <w:sz w:val="24"/>
          <w:szCs w:val="24"/>
        </w:rPr>
        <w:t>:</w:t>
      </w:r>
    </w:p>
    <w:p w:rsidR="002F66DC" w:rsidRPr="00882B5D" w:rsidRDefault="002F66DC" w:rsidP="00882B5D">
      <w:pPr>
        <w:spacing w:after="0"/>
        <w:rPr>
          <w:rFonts w:ascii="Arial" w:hAnsi="Arial" w:cs="Arial"/>
          <w:sz w:val="24"/>
          <w:szCs w:val="24"/>
        </w:rPr>
      </w:pPr>
    </w:p>
    <w:p w:rsidR="007A5231" w:rsidRPr="007A5231" w:rsidRDefault="007A5231" w:rsidP="007A5231">
      <w:pPr>
        <w:spacing w:after="0"/>
        <w:rPr>
          <w:rFonts w:ascii="Arial" w:hAnsi="Arial" w:cs="Arial"/>
          <w:i/>
          <w:sz w:val="24"/>
          <w:szCs w:val="24"/>
        </w:rPr>
      </w:pPr>
      <w:r w:rsidRPr="007A5231">
        <w:rPr>
          <w:rFonts w:ascii="Arial" w:hAnsi="Arial" w:cs="Arial"/>
          <w:i/>
          <w:sz w:val="24"/>
          <w:szCs w:val="24"/>
        </w:rPr>
        <w:t xml:space="preserve">‘At Central College Nottingham you have a right to be treated with respect and dignity during your time with us as a learner, member of staff, visitor or service user. To achieve </w:t>
      </w:r>
      <w:proofErr w:type="gramStart"/>
      <w:r w:rsidRPr="007A5231">
        <w:rPr>
          <w:rFonts w:ascii="Arial" w:hAnsi="Arial" w:cs="Arial"/>
          <w:i/>
          <w:sz w:val="24"/>
          <w:szCs w:val="24"/>
        </w:rPr>
        <w:t>this the</w:t>
      </w:r>
      <w:proofErr w:type="gramEnd"/>
      <w:r w:rsidRPr="007A5231">
        <w:rPr>
          <w:rFonts w:ascii="Arial" w:hAnsi="Arial" w:cs="Arial"/>
          <w:i/>
          <w:sz w:val="24"/>
          <w:szCs w:val="24"/>
        </w:rPr>
        <w:t xml:space="preserve"> college will ensure that you are not treated unfairly for reasons which cannot be legitimately justified.  Central College Nottingham is proud of and values the contributions made by the rich diversity of all who work and learn here.</w:t>
      </w:r>
    </w:p>
    <w:p w:rsidR="007A5231" w:rsidRPr="007A5231" w:rsidRDefault="007A5231" w:rsidP="007A5231">
      <w:pPr>
        <w:spacing w:after="0"/>
        <w:rPr>
          <w:rFonts w:ascii="Arial" w:hAnsi="Arial" w:cs="Arial"/>
          <w:i/>
          <w:sz w:val="24"/>
          <w:szCs w:val="24"/>
        </w:rPr>
      </w:pPr>
    </w:p>
    <w:p w:rsidR="007A5231" w:rsidRPr="007A5231" w:rsidRDefault="007A5231" w:rsidP="007A5231">
      <w:pPr>
        <w:spacing w:after="0"/>
        <w:rPr>
          <w:rFonts w:ascii="Arial" w:hAnsi="Arial" w:cs="Arial"/>
          <w:i/>
          <w:sz w:val="24"/>
          <w:szCs w:val="24"/>
        </w:rPr>
      </w:pPr>
      <w:r w:rsidRPr="007A5231">
        <w:rPr>
          <w:rFonts w:ascii="Arial" w:hAnsi="Arial" w:cs="Arial"/>
          <w:i/>
          <w:sz w:val="24"/>
          <w:szCs w:val="24"/>
        </w:rPr>
        <w:t>It is our aim to provide an inclusive working and learning environment where everyone in the College community is fully respected and supported.’</w:t>
      </w:r>
    </w:p>
    <w:p w:rsidR="007A5231" w:rsidRPr="007A5231" w:rsidRDefault="007A5231" w:rsidP="007A5231">
      <w:pPr>
        <w:spacing w:after="0"/>
        <w:rPr>
          <w:rFonts w:ascii="Arial" w:hAnsi="Arial" w:cs="Arial"/>
          <w:i/>
          <w:sz w:val="24"/>
          <w:szCs w:val="24"/>
        </w:rPr>
      </w:pPr>
    </w:p>
    <w:p w:rsidR="00882B5D" w:rsidRPr="00882B5D" w:rsidRDefault="00882B5D" w:rsidP="00882B5D">
      <w:pPr>
        <w:spacing w:after="0"/>
        <w:rPr>
          <w:rFonts w:ascii="Arial" w:hAnsi="Arial" w:cs="Arial"/>
          <w:sz w:val="24"/>
          <w:szCs w:val="24"/>
        </w:rPr>
      </w:pPr>
    </w:p>
    <w:p w:rsidR="00617AD8" w:rsidRDefault="00882B5D" w:rsidP="00662A33">
      <w:pPr>
        <w:spacing w:after="0"/>
        <w:rPr>
          <w:rFonts w:ascii="Arial" w:hAnsi="Arial" w:cs="Arial"/>
          <w:sz w:val="24"/>
          <w:szCs w:val="24"/>
        </w:rPr>
      </w:pPr>
      <w:r w:rsidRPr="00882B5D">
        <w:rPr>
          <w:rFonts w:ascii="Arial" w:hAnsi="Arial" w:cs="Arial"/>
          <w:sz w:val="24"/>
          <w:szCs w:val="24"/>
        </w:rPr>
        <w:t>The aim of this repo</w:t>
      </w:r>
      <w:r w:rsidR="0092151B">
        <w:rPr>
          <w:rFonts w:ascii="Arial" w:hAnsi="Arial" w:cs="Arial"/>
          <w:sz w:val="24"/>
          <w:szCs w:val="24"/>
        </w:rPr>
        <w:t xml:space="preserve">rt is to review the </w:t>
      </w:r>
      <w:r w:rsidR="00CF4199" w:rsidRPr="009B0D63">
        <w:rPr>
          <w:rFonts w:ascii="Arial" w:hAnsi="Arial" w:cs="Arial"/>
          <w:sz w:val="24"/>
          <w:szCs w:val="24"/>
        </w:rPr>
        <w:t>key</w:t>
      </w:r>
      <w:r w:rsidR="00BB0E62">
        <w:rPr>
          <w:rFonts w:ascii="Arial" w:hAnsi="Arial" w:cs="Arial"/>
          <w:sz w:val="24"/>
          <w:szCs w:val="24"/>
        </w:rPr>
        <w:t xml:space="preserve"> EDI</w:t>
      </w:r>
      <w:r w:rsidR="00CF4199" w:rsidRPr="009B0D63">
        <w:rPr>
          <w:rFonts w:ascii="Arial" w:hAnsi="Arial" w:cs="Arial"/>
          <w:sz w:val="24"/>
          <w:szCs w:val="24"/>
        </w:rPr>
        <w:t xml:space="preserve"> objectives for</w:t>
      </w:r>
      <w:r w:rsidR="00BB0E62">
        <w:rPr>
          <w:rFonts w:ascii="Arial" w:hAnsi="Arial" w:cs="Arial"/>
          <w:sz w:val="24"/>
          <w:szCs w:val="24"/>
        </w:rPr>
        <w:t xml:space="preserve"> the College driven by the work carried out by the </w:t>
      </w:r>
      <w:r w:rsidR="00CF4199" w:rsidRPr="009B0D63">
        <w:rPr>
          <w:rFonts w:ascii="Arial" w:hAnsi="Arial" w:cs="Arial"/>
          <w:sz w:val="24"/>
          <w:szCs w:val="24"/>
        </w:rPr>
        <w:t xml:space="preserve">EDI Team </w:t>
      </w:r>
      <w:r w:rsidR="00503A5C">
        <w:rPr>
          <w:rFonts w:ascii="Arial" w:hAnsi="Arial" w:cs="Arial"/>
          <w:sz w:val="24"/>
          <w:szCs w:val="24"/>
        </w:rPr>
        <w:t xml:space="preserve">throughout the academic year </w:t>
      </w:r>
      <w:r w:rsidR="00241CF4">
        <w:rPr>
          <w:rFonts w:ascii="Arial" w:hAnsi="Arial" w:cs="Arial"/>
          <w:sz w:val="24"/>
          <w:szCs w:val="24"/>
        </w:rPr>
        <w:t xml:space="preserve">for </w:t>
      </w:r>
      <w:r w:rsidR="00503A5C">
        <w:rPr>
          <w:rFonts w:ascii="Arial" w:hAnsi="Arial" w:cs="Arial"/>
          <w:sz w:val="24"/>
          <w:szCs w:val="24"/>
        </w:rPr>
        <w:t>2011 – 2012 and beyond</w:t>
      </w:r>
      <w:r w:rsidR="00074FAC">
        <w:rPr>
          <w:rFonts w:ascii="Arial" w:hAnsi="Arial" w:cs="Arial"/>
          <w:sz w:val="24"/>
          <w:szCs w:val="24"/>
        </w:rPr>
        <w:t>,</w:t>
      </w:r>
      <w:r w:rsidR="00617AD8">
        <w:rPr>
          <w:rFonts w:ascii="Arial" w:hAnsi="Arial" w:cs="Arial"/>
          <w:sz w:val="24"/>
          <w:szCs w:val="24"/>
        </w:rPr>
        <w:t xml:space="preserve"> to reflect and support the diversity of staff and learner profiles which continue</w:t>
      </w:r>
      <w:r w:rsidR="00241CF4">
        <w:rPr>
          <w:rFonts w:ascii="Arial" w:hAnsi="Arial" w:cs="Arial"/>
          <w:sz w:val="24"/>
          <w:szCs w:val="24"/>
        </w:rPr>
        <w:t>s</w:t>
      </w:r>
      <w:r w:rsidR="00617AD8">
        <w:rPr>
          <w:rFonts w:ascii="Arial" w:hAnsi="Arial" w:cs="Arial"/>
          <w:sz w:val="24"/>
          <w:szCs w:val="24"/>
        </w:rPr>
        <w:t xml:space="preserve"> to change ov</w:t>
      </w:r>
      <w:bookmarkStart w:id="0" w:name="_GoBack"/>
      <w:bookmarkEnd w:id="0"/>
      <w:r w:rsidR="00617AD8">
        <w:rPr>
          <w:rFonts w:ascii="Arial" w:hAnsi="Arial" w:cs="Arial"/>
          <w:sz w:val="24"/>
          <w:szCs w:val="24"/>
        </w:rPr>
        <w:t xml:space="preserve">er the years.    </w:t>
      </w:r>
    </w:p>
    <w:p w:rsidR="00F655CF" w:rsidRDefault="00F655CF" w:rsidP="00F655CF">
      <w:pPr>
        <w:spacing w:after="0"/>
        <w:rPr>
          <w:rFonts w:ascii="Arial" w:hAnsi="Arial" w:cs="Arial"/>
          <w:sz w:val="24"/>
          <w:szCs w:val="24"/>
        </w:rPr>
      </w:pPr>
    </w:p>
    <w:p w:rsidR="00F655CF" w:rsidRDefault="00F655CF" w:rsidP="00F655CF">
      <w:pPr>
        <w:spacing w:after="0"/>
        <w:rPr>
          <w:rFonts w:ascii="Arial" w:hAnsi="Arial" w:cs="Arial"/>
          <w:sz w:val="24"/>
          <w:szCs w:val="24"/>
        </w:rPr>
      </w:pPr>
    </w:p>
    <w:p w:rsidR="00617AD8" w:rsidRPr="00635BCA" w:rsidRDefault="00F655CF" w:rsidP="00F655CF">
      <w:pPr>
        <w:spacing w:after="0"/>
        <w:rPr>
          <w:rFonts w:ascii="Arial" w:hAnsi="Arial" w:cs="Arial"/>
          <w:b/>
          <w:sz w:val="24"/>
          <w:szCs w:val="24"/>
        </w:rPr>
      </w:pPr>
      <w:r w:rsidRPr="00635BCA">
        <w:rPr>
          <w:rFonts w:ascii="Arial" w:hAnsi="Arial" w:cs="Arial"/>
          <w:b/>
          <w:sz w:val="24"/>
          <w:szCs w:val="24"/>
        </w:rPr>
        <w:t>2.  Legislative Compliance</w:t>
      </w:r>
    </w:p>
    <w:p w:rsidR="00F655CF" w:rsidRDefault="00F655CF" w:rsidP="00F655CF">
      <w:pPr>
        <w:spacing w:after="0"/>
        <w:rPr>
          <w:rFonts w:ascii="Arial" w:hAnsi="Arial" w:cs="Arial"/>
          <w:sz w:val="24"/>
          <w:szCs w:val="24"/>
        </w:rPr>
      </w:pPr>
    </w:p>
    <w:p w:rsidR="00F655CF" w:rsidRPr="00F655CF" w:rsidRDefault="00F655CF" w:rsidP="00F655CF">
      <w:pPr>
        <w:rPr>
          <w:rFonts w:ascii="Arial" w:hAnsi="Arial" w:cs="Arial"/>
          <w:sz w:val="24"/>
          <w:szCs w:val="24"/>
        </w:rPr>
      </w:pPr>
      <w:r w:rsidRPr="00F655CF">
        <w:rPr>
          <w:rFonts w:ascii="Arial" w:hAnsi="Arial" w:cs="Arial"/>
          <w:sz w:val="24"/>
          <w:szCs w:val="24"/>
        </w:rPr>
        <w:t>A suite of equality policies have been developed to specifically support and achieve th</w:t>
      </w:r>
      <w:r w:rsidR="00241CF4">
        <w:rPr>
          <w:rFonts w:ascii="Arial" w:hAnsi="Arial" w:cs="Arial"/>
          <w:sz w:val="24"/>
          <w:szCs w:val="24"/>
        </w:rPr>
        <w:t>e</w:t>
      </w:r>
      <w:r w:rsidRPr="00F655CF">
        <w:rPr>
          <w:rFonts w:ascii="Arial" w:hAnsi="Arial" w:cs="Arial"/>
          <w:sz w:val="24"/>
          <w:szCs w:val="24"/>
        </w:rPr>
        <w:t xml:space="preserve"> aim </w:t>
      </w:r>
      <w:r w:rsidR="00241CF4">
        <w:rPr>
          <w:rFonts w:ascii="Arial" w:hAnsi="Arial" w:cs="Arial"/>
          <w:sz w:val="24"/>
          <w:szCs w:val="24"/>
        </w:rPr>
        <w:t xml:space="preserve">of achieving legal compliance </w:t>
      </w:r>
      <w:r w:rsidRPr="00F655CF">
        <w:rPr>
          <w:rFonts w:ascii="Arial" w:hAnsi="Arial" w:cs="Arial"/>
          <w:sz w:val="24"/>
          <w:szCs w:val="24"/>
        </w:rPr>
        <w:t xml:space="preserve">and to enable the Corporation to respond to </w:t>
      </w:r>
      <w:r w:rsidR="00241CF4">
        <w:rPr>
          <w:rFonts w:ascii="Arial" w:hAnsi="Arial" w:cs="Arial"/>
          <w:sz w:val="24"/>
          <w:szCs w:val="24"/>
        </w:rPr>
        <w:t>the</w:t>
      </w:r>
      <w:r w:rsidR="00241CF4" w:rsidRPr="00F655CF">
        <w:rPr>
          <w:rFonts w:ascii="Arial" w:hAnsi="Arial" w:cs="Arial"/>
          <w:sz w:val="24"/>
          <w:szCs w:val="24"/>
        </w:rPr>
        <w:t xml:space="preserve"> </w:t>
      </w:r>
      <w:r w:rsidRPr="00F655CF">
        <w:rPr>
          <w:rFonts w:ascii="Arial" w:hAnsi="Arial" w:cs="Arial"/>
          <w:sz w:val="24"/>
          <w:szCs w:val="24"/>
        </w:rPr>
        <w:t>statutory duties detailed in the Equality Act 2010 and the Public Sector Equality Duty 2011 to promote equality of opportunity and avoid any discrimination, demonstrating a commitment to placing equality, diversity and inclusion at the centre of every aspect of business and academic functions.</w:t>
      </w:r>
    </w:p>
    <w:p w:rsidR="00F655CF" w:rsidRPr="00F655CF" w:rsidRDefault="00F655CF" w:rsidP="00F655CF">
      <w:pPr>
        <w:spacing w:after="0"/>
        <w:rPr>
          <w:rFonts w:ascii="Arial" w:hAnsi="Arial" w:cs="Arial"/>
          <w:sz w:val="24"/>
          <w:szCs w:val="24"/>
        </w:rPr>
      </w:pPr>
    </w:p>
    <w:p w:rsidR="00617AD8" w:rsidRPr="00635BCA" w:rsidRDefault="00BB0E62" w:rsidP="00662A33">
      <w:pPr>
        <w:spacing w:after="0"/>
        <w:rPr>
          <w:rFonts w:ascii="Arial" w:hAnsi="Arial" w:cs="Arial"/>
          <w:b/>
          <w:sz w:val="24"/>
          <w:szCs w:val="24"/>
        </w:rPr>
      </w:pPr>
      <w:r w:rsidRPr="00635BCA">
        <w:rPr>
          <w:rFonts w:ascii="Arial" w:hAnsi="Arial" w:cs="Arial"/>
          <w:b/>
          <w:sz w:val="24"/>
          <w:szCs w:val="24"/>
        </w:rPr>
        <w:t>2</w:t>
      </w:r>
      <w:r w:rsidR="00F655CF" w:rsidRPr="00635BCA">
        <w:rPr>
          <w:rFonts w:ascii="Arial" w:hAnsi="Arial" w:cs="Arial"/>
          <w:b/>
          <w:sz w:val="24"/>
          <w:szCs w:val="24"/>
        </w:rPr>
        <w:t>a</w:t>
      </w:r>
      <w:r w:rsidRPr="00635BCA">
        <w:rPr>
          <w:rFonts w:ascii="Arial" w:hAnsi="Arial" w:cs="Arial"/>
          <w:b/>
          <w:sz w:val="24"/>
          <w:szCs w:val="24"/>
        </w:rPr>
        <w:t xml:space="preserve">. </w:t>
      </w:r>
      <w:r w:rsidR="00074FAC" w:rsidRPr="00635BCA">
        <w:rPr>
          <w:rFonts w:ascii="Arial" w:hAnsi="Arial" w:cs="Arial"/>
          <w:b/>
          <w:sz w:val="24"/>
          <w:szCs w:val="24"/>
        </w:rPr>
        <w:t>Public Sector Equality Duty</w:t>
      </w:r>
    </w:p>
    <w:p w:rsidR="00BB0E62" w:rsidRDefault="00BB0E62" w:rsidP="00E61B53">
      <w:pPr>
        <w:spacing w:after="0"/>
        <w:rPr>
          <w:rFonts w:ascii="Arial" w:hAnsi="Arial" w:cs="Arial"/>
          <w:sz w:val="24"/>
          <w:szCs w:val="24"/>
        </w:rPr>
      </w:pPr>
    </w:p>
    <w:p w:rsidR="00E61B53" w:rsidRPr="00E61B53" w:rsidRDefault="00E61B53" w:rsidP="00E61B53">
      <w:pPr>
        <w:spacing w:after="0"/>
        <w:rPr>
          <w:rFonts w:ascii="Arial" w:hAnsi="Arial" w:cs="Arial"/>
          <w:sz w:val="24"/>
          <w:szCs w:val="24"/>
        </w:rPr>
      </w:pPr>
      <w:r w:rsidRPr="00E61B53">
        <w:rPr>
          <w:rFonts w:ascii="Arial" w:hAnsi="Arial" w:cs="Arial"/>
          <w:sz w:val="24"/>
          <w:szCs w:val="24"/>
        </w:rPr>
        <w:t xml:space="preserve">The Public Sector Equality Duty is made up of a General Equality Duty which </w:t>
      </w:r>
      <w:r w:rsidR="00BB0E62">
        <w:rPr>
          <w:rFonts w:ascii="Arial" w:hAnsi="Arial" w:cs="Arial"/>
          <w:sz w:val="24"/>
          <w:szCs w:val="24"/>
        </w:rPr>
        <w:t>is supported by Specific Duties.</w:t>
      </w:r>
    </w:p>
    <w:p w:rsidR="00E61B53" w:rsidRPr="00E61B53" w:rsidRDefault="00E61B53" w:rsidP="00E61B53">
      <w:pPr>
        <w:spacing w:after="0"/>
        <w:rPr>
          <w:rFonts w:ascii="Arial" w:hAnsi="Arial" w:cs="Arial"/>
          <w:sz w:val="24"/>
          <w:szCs w:val="24"/>
        </w:rPr>
      </w:pPr>
      <w:r w:rsidRPr="00E61B53">
        <w:rPr>
          <w:rFonts w:ascii="Arial" w:hAnsi="Arial" w:cs="Arial"/>
          <w:sz w:val="24"/>
          <w:szCs w:val="24"/>
        </w:rPr>
        <w:t xml:space="preserve">  </w:t>
      </w:r>
    </w:p>
    <w:p w:rsidR="00E61B53" w:rsidRPr="00E61B53" w:rsidRDefault="00E61B53" w:rsidP="00E61B53">
      <w:pPr>
        <w:spacing w:after="0"/>
        <w:rPr>
          <w:rFonts w:ascii="Arial" w:hAnsi="Arial" w:cs="Arial"/>
          <w:sz w:val="24"/>
          <w:szCs w:val="24"/>
        </w:rPr>
      </w:pPr>
      <w:r w:rsidRPr="00E61B53">
        <w:rPr>
          <w:rFonts w:ascii="Arial" w:hAnsi="Arial" w:cs="Arial"/>
          <w:sz w:val="24"/>
          <w:szCs w:val="24"/>
        </w:rPr>
        <w:t>The General Equality Duty requires public authorities, in the exercise of their</w:t>
      </w:r>
      <w:r w:rsidR="00580DAA">
        <w:rPr>
          <w:rFonts w:ascii="Arial" w:hAnsi="Arial" w:cs="Arial"/>
          <w:sz w:val="24"/>
          <w:szCs w:val="24"/>
        </w:rPr>
        <w:t xml:space="preserve"> </w:t>
      </w:r>
      <w:r w:rsidRPr="00E61B53">
        <w:rPr>
          <w:rFonts w:ascii="Arial" w:hAnsi="Arial" w:cs="Arial"/>
          <w:sz w:val="24"/>
          <w:szCs w:val="24"/>
        </w:rPr>
        <w:t>functions, to have due regard to the need to:</w:t>
      </w:r>
    </w:p>
    <w:p w:rsidR="00E61B53" w:rsidRPr="00E61B53" w:rsidRDefault="00E61B53" w:rsidP="00E61B53">
      <w:pPr>
        <w:spacing w:after="0"/>
        <w:rPr>
          <w:rFonts w:ascii="Arial" w:hAnsi="Arial" w:cs="Arial"/>
          <w:sz w:val="24"/>
          <w:szCs w:val="24"/>
        </w:rPr>
      </w:pPr>
    </w:p>
    <w:p w:rsidR="00E61B53" w:rsidRPr="00F118A0" w:rsidRDefault="00E61B53" w:rsidP="00F118A0">
      <w:pPr>
        <w:pStyle w:val="ListParagraph"/>
        <w:numPr>
          <w:ilvl w:val="0"/>
          <w:numId w:val="6"/>
        </w:numPr>
        <w:spacing w:after="0"/>
        <w:rPr>
          <w:rFonts w:ascii="Arial" w:hAnsi="Arial" w:cs="Arial"/>
          <w:sz w:val="24"/>
          <w:szCs w:val="24"/>
        </w:rPr>
      </w:pPr>
      <w:r w:rsidRPr="00F118A0">
        <w:rPr>
          <w:rFonts w:ascii="Arial" w:hAnsi="Arial" w:cs="Arial"/>
          <w:sz w:val="24"/>
          <w:szCs w:val="24"/>
        </w:rPr>
        <w:t>Eliminate discrimination, harassment and victimisation and any other conduct</w:t>
      </w:r>
      <w:r w:rsidR="00580DAA" w:rsidRPr="00F118A0">
        <w:rPr>
          <w:rFonts w:ascii="Arial" w:hAnsi="Arial" w:cs="Arial"/>
          <w:sz w:val="24"/>
          <w:szCs w:val="24"/>
        </w:rPr>
        <w:t xml:space="preserve"> </w:t>
      </w:r>
      <w:r w:rsidRPr="00F118A0">
        <w:rPr>
          <w:rFonts w:ascii="Arial" w:hAnsi="Arial" w:cs="Arial"/>
          <w:sz w:val="24"/>
          <w:szCs w:val="24"/>
        </w:rPr>
        <w:t xml:space="preserve">that is prohibited by or under the Equality Act 2010. </w:t>
      </w:r>
    </w:p>
    <w:p w:rsidR="00E61B53" w:rsidRDefault="00E61B53" w:rsidP="00F118A0">
      <w:pPr>
        <w:pStyle w:val="ListParagraph"/>
        <w:numPr>
          <w:ilvl w:val="0"/>
          <w:numId w:val="6"/>
        </w:numPr>
        <w:spacing w:after="0"/>
        <w:rPr>
          <w:rFonts w:ascii="Arial" w:hAnsi="Arial" w:cs="Arial"/>
          <w:sz w:val="24"/>
          <w:szCs w:val="24"/>
        </w:rPr>
      </w:pPr>
      <w:r w:rsidRPr="00F118A0">
        <w:rPr>
          <w:rFonts w:ascii="Arial" w:hAnsi="Arial" w:cs="Arial"/>
          <w:sz w:val="24"/>
          <w:szCs w:val="24"/>
        </w:rPr>
        <w:t xml:space="preserve">Advance equality of opportunity between people who share a relevant protected characteristic and people who do not share it. </w:t>
      </w:r>
    </w:p>
    <w:p w:rsidR="00241CF4" w:rsidRPr="00F118A0" w:rsidRDefault="00241CF4" w:rsidP="004D12DB">
      <w:pPr>
        <w:pStyle w:val="ListParagraph"/>
        <w:spacing w:after="0"/>
        <w:rPr>
          <w:rFonts w:ascii="Arial" w:hAnsi="Arial" w:cs="Arial"/>
          <w:sz w:val="24"/>
          <w:szCs w:val="24"/>
        </w:rPr>
      </w:pPr>
    </w:p>
    <w:p w:rsidR="00E61B53" w:rsidRPr="00F118A0" w:rsidRDefault="00E61B53" w:rsidP="00F118A0">
      <w:pPr>
        <w:pStyle w:val="ListParagraph"/>
        <w:numPr>
          <w:ilvl w:val="0"/>
          <w:numId w:val="6"/>
        </w:numPr>
        <w:spacing w:after="0"/>
        <w:rPr>
          <w:rFonts w:ascii="Arial" w:hAnsi="Arial" w:cs="Arial"/>
          <w:sz w:val="24"/>
          <w:szCs w:val="24"/>
        </w:rPr>
      </w:pPr>
      <w:r w:rsidRPr="00F118A0">
        <w:rPr>
          <w:rFonts w:ascii="Arial" w:hAnsi="Arial" w:cs="Arial"/>
          <w:sz w:val="24"/>
          <w:szCs w:val="24"/>
        </w:rPr>
        <w:t>Foster good relations between people who share a relevant protected characteristic and those who do not share it.</w:t>
      </w:r>
    </w:p>
    <w:p w:rsidR="00E61B53" w:rsidRPr="00E61B53" w:rsidRDefault="00E61B53" w:rsidP="00E61B53">
      <w:pPr>
        <w:spacing w:after="0"/>
        <w:rPr>
          <w:rFonts w:ascii="Arial" w:hAnsi="Arial" w:cs="Arial"/>
          <w:sz w:val="24"/>
          <w:szCs w:val="24"/>
        </w:rPr>
      </w:pPr>
    </w:p>
    <w:p w:rsidR="00E61B53" w:rsidRPr="00E61B53" w:rsidRDefault="00E61B53" w:rsidP="00E61B53">
      <w:pPr>
        <w:spacing w:after="0"/>
        <w:rPr>
          <w:rFonts w:ascii="Arial" w:hAnsi="Arial" w:cs="Arial"/>
          <w:sz w:val="24"/>
          <w:szCs w:val="24"/>
        </w:rPr>
      </w:pPr>
      <w:r w:rsidRPr="00E61B53">
        <w:rPr>
          <w:rFonts w:ascii="Arial" w:hAnsi="Arial" w:cs="Arial"/>
          <w:sz w:val="24"/>
          <w:szCs w:val="24"/>
        </w:rPr>
        <w:t xml:space="preserve">Public authorities, </w:t>
      </w:r>
      <w:r w:rsidR="00580DAA">
        <w:rPr>
          <w:rFonts w:ascii="Arial" w:hAnsi="Arial" w:cs="Arial"/>
          <w:sz w:val="24"/>
          <w:szCs w:val="24"/>
        </w:rPr>
        <w:t xml:space="preserve">including Central College Nottingham, </w:t>
      </w:r>
      <w:r w:rsidRPr="00E61B53">
        <w:rPr>
          <w:rFonts w:ascii="Arial" w:hAnsi="Arial" w:cs="Arial"/>
          <w:sz w:val="24"/>
          <w:szCs w:val="24"/>
        </w:rPr>
        <w:t>listed in Schedule 1 and 2 of The Equality Act 2010 (Specific Duties) Regulations 2011 (the specific duties) are required to show functional transparency by:</w:t>
      </w:r>
    </w:p>
    <w:p w:rsidR="00E61B53" w:rsidRPr="00E61B53" w:rsidRDefault="00E61B53" w:rsidP="00E61B53">
      <w:pPr>
        <w:spacing w:after="0"/>
        <w:rPr>
          <w:rFonts w:ascii="Arial" w:hAnsi="Arial" w:cs="Arial"/>
          <w:sz w:val="24"/>
          <w:szCs w:val="24"/>
        </w:rPr>
      </w:pPr>
    </w:p>
    <w:p w:rsidR="00E61B53" w:rsidRDefault="00E61B53" w:rsidP="00F118A0">
      <w:pPr>
        <w:pStyle w:val="ListParagraph"/>
        <w:numPr>
          <w:ilvl w:val="0"/>
          <w:numId w:val="8"/>
        </w:numPr>
        <w:spacing w:after="0"/>
        <w:rPr>
          <w:rFonts w:ascii="Arial" w:hAnsi="Arial" w:cs="Arial"/>
          <w:sz w:val="24"/>
          <w:szCs w:val="24"/>
        </w:rPr>
      </w:pPr>
      <w:r w:rsidRPr="00F118A0">
        <w:rPr>
          <w:rFonts w:ascii="Arial" w:hAnsi="Arial" w:cs="Arial"/>
          <w:sz w:val="24"/>
          <w:szCs w:val="24"/>
        </w:rPr>
        <w:t>Preparing and publishing one or more equality objectives which can be achieved to do any of the things mentioned in the aims of the General Equality Duty, by 6 April 2012, and at least every four years thereafter.</w:t>
      </w:r>
    </w:p>
    <w:p w:rsidR="00241CF4" w:rsidRPr="00F118A0" w:rsidRDefault="00241CF4" w:rsidP="004D12DB">
      <w:pPr>
        <w:pStyle w:val="ListParagraph"/>
        <w:spacing w:after="0"/>
        <w:rPr>
          <w:rFonts w:ascii="Arial" w:hAnsi="Arial" w:cs="Arial"/>
          <w:sz w:val="24"/>
          <w:szCs w:val="24"/>
        </w:rPr>
      </w:pPr>
    </w:p>
    <w:p w:rsidR="00E61B53" w:rsidRDefault="00E61B53" w:rsidP="00F118A0">
      <w:pPr>
        <w:pStyle w:val="ListParagraph"/>
        <w:numPr>
          <w:ilvl w:val="0"/>
          <w:numId w:val="8"/>
        </w:numPr>
        <w:spacing w:after="0"/>
        <w:rPr>
          <w:rFonts w:ascii="Arial" w:hAnsi="Arial" w:cs="Arial"/>
          <w:sz w:val="24"/>
          <w:szCs w:val="24"/>
        </w:rPr>
      </w:pPr>
      <w:r w:rsidRPr="00F118A0">
        <w:rPr>
          <w:rFonts w:ascii="Arial" w:hAnsi="Arial" w:cs="Arial"/>
          <w:sz w:val="24"/>
          <w:szCs w:val="24"/>
        </w:rPr>
        <w:t xml:space="preserve">Ensuring that those equality objectives are specific and measurable. </w:t>
      </w:r>
    </w:p>
    <w:p w:rsidR="00241CF4" w:rsidRPr="00F118A0" w:rsidRDefault="00241CF4" w:rsidP="004D12DB">
      <w:pPr>
        <w:pStyle w:val="ListParagraph"/>
        <w:spacing w:after="0"/>
        <w:rPr>
          <w:rFonts w:ascii="Arial" w:hAnsi="Arial" w:cs="Arial"/>
          <w:sz w:val="24"/>
          <w:szCs w:val="24"/>
        </w:rPr>
      </w:pPr>
    </w:p>
    <w:p w:rsidR="00E61B53" w:rsidRPr="00F118A0" w:rsidRDefault="00E61B53" w:rsidP="00F118A0">
      <w:pPr>
        <w:pStyle w:val="ListParagraph"/>
        <w:numPr>
          <w:ilvl w:val="0"/>
          <w:numId w:val="8"/>
        </w:numPr>
        <w:spacing w:after="0"/>
        <w:rPr>
          <w:rFonts w:ascii="Arial" w:hAnsi="Arial" w:cs="Arial"/>
          <w:sz w:val="24"/>
          <w:szCs w:val="24"/>
        </w:rPr>
      </w:pPr>
      <w:r w:rsidRPr="00F118A0">
        <w:rPr>
          <w:rFonts w:ascii="Arial" w:hAnsi="Arial" w:cs="Arial"/>
          <w:sz w:val="24"/>
          <w:szCs w:val="24"/>
        </w:rPr>
        <w:t>Publishing those equality objectives in such a manner that they are accessible to the public.</w:t>
      </w:r>
    </w:p>
    <w:p w:rsidR="00E61B53" w:rsidRDefault="00E61B53" w:rsidP="00E61B53">
      <w:pPr>
        <w:spacing w:after="0"/>
        <w:rPr>
          <w:rFonts w:ascii="Arial" w:hAnsi="Arial" w:cs="Arial"/>
          <w:sz w:val="24"/>
          <w:szCs w:val="24"/>
        </w:rPr>
      </w:pPr>
    </w:p>
    <w:p w:rsidR="00F655CF" w:rsidRPr="00635BCA" w:rsidRDefault="00F655CF" w:rsidP="00E61B53">
      <w:pPr>
        <w:spacing w:after="0"/>
        <w:rPr>
          <w:rFonts w:ascii="Arial" w:hAnsi="Arial" w:cs="Arial"/>
          <w:b/>
          <w:sz w:val="24"/>
          <w:szCs w:val="24"/>
        </w:rPr>
      </w:pPr>
      <w:r w:rsidRPr="00635BCA">
        <w:rPr>
          <w:rFonts w:ascii="Arial" w:hAnsi="Arial" w:cs="Arial"/>
          <w:b/>
          <w:sz w:val="24"/>
          <w:szCs w:val="24"/>
        </w:rPr>
        <w:t>Equality Objectives</w:t>
      </w:r>
    </w:p>
    <w:p w:rsidR="00F655CF" w:rsidRPr="00E61B53" w:rsidRDefault="00F655CF" w:rsidP="00E61B53">
      <w:pPr>
        <w:spacing w:after="0"/>
        <w:rPr>
          <w:rFonts w:ascii="Arial" w:hAnsi="Arial" w:cs="Arial"/>
          <w:sz w:val="24"/>
          <w:szCs w:val="24"/>
        </w:rPr>
      </w:pPr>
    </w:p>
    <w:p w:rsidR="003C77E9" w:rsidRPr="003C77E9" w:rsidRDefault="00F655CF" w:rsidP="003C77E9">
      <w:pPr>
        <w:spacing w:after="0"/>
        <w:rPr>
          <w:rFonts w:ascii="Arial" w:hAnsi="Arial" w:cs="Arial"/>
          <w:sz w:val="24"/>
          <w:szCs w:val="24"/>
        </w:rPr>
      </w:pPr>
      <w:r>
        <w:rPr>
          <w:rFonts w:ascii="Arial" w:hAnsi="Arial" w:cs="Arial"/>
          <w:sz w:val="24"/>
          <w:szCs w:val="24"/>
        </w:rPr>
        <w:t>Prioritised equality o</w:t>
      </w:r>
      <w:r w:rsidR="003C77E9" w:rsidRPr="003C77E9">
        <w:rPr>
          <w:rFonts w:ascii="Arial" w:hAnsi="Arial" w:cs="Arial"/>
          <w:sz w:val="24"/>
          <w:szCs w:val="24"/>
        </w:rPr>
        <w:t>bjectives</w:t>
      </w:r>
      <w:r>
        <w:rPr>
          <w:rFonts w:ascii="Arial" w:hAnsi="Arial" w:cs="Arial"/>
          <w:sz w:val="24"/>
          <w:szCs w:val="24"/>
        </w:rPr>
        <w:t xml:space="preserve"> were </w:t>
      </w:r>
      <w:r w:rsidR="003C77E9" w:rsidRPr="003C77E9">
        <w:rPr>
          <w:rFonts w:ascii="Arial" w:hAnsi="Arial" w:cs="Arial"/>
          <w:sz w:val="24"/>
          <w:szCs w:val="24"/>
        </w:rPr>
        <w:t xml:space="preserve">agreed by </w:t>
      </w:r>
      <w:r w:rsidR="00241CF4">
        <w:rPr>
          <w:rFonts w:ascii="Arial" w:hAnsi="Arial" w:cs="Arial"/>
          <w:sz w:val="24"/>
          <w:szCs w:val="24"/>
        </w:rPr>
        <w:t xml:space="preserve">the </w:t>
      </w:r>
      <w:r w:rsidR="003C77E9" w:rsidRPr="003C77E9">
        <w:rPr>
          <w:rFonts w:ascii="Arial" w:hAnsi="Arial" w:cs="Arial"/>
          <w:sz w:val="24"/>
          <w:szCs w:val="24"/>
        </w:rPr>
        <w:t>Equality, Diversity &amp; Inclusion Committee</w:t>
      </w:r>
      <w:r w:rsidR="00241CF4">
        <w:rPr>
          <w:rFonts w:ascii="Arial" w:hAnsi="Arial" w:cs="Arial"/>
          <w:sz w:val="24"/>
          <w:szCs w:val="24"/>
        </w:rPr>
        <w:t xml:space="preserve"> in</w:t>
      </w:r>
      <w:r w:rsidR="003C77E9" w:rsidRPr="003C77E9">
        <w:rPr>
          <w:rFonts w:ascii="Arial" w:hAnsi="Arial" w:cs="Arial"/>
          <w:sz w:val="24"/>
          <w:szCs w:val="24"/>
        </w:rPr>
        <w:t xml:space="preserve"> March 2012 based on targets agreed </w:t>
      </w:r>
      <w:r w:rsidR="00241CF4">
        <w:rPr>
          <w:rFonts w:ascii="Arial" w:hAnsi="Arial" w:cs="Arial"/>
          <w:sz w:val="24"/>
          <w:szCs w:val="24"/>
        </w:rPr>
        <w:t>with</w:t>
      </w:r>
      <w:r w:rsidR="003C77E9" w:rsidRPr="003C77E9">
        <w:rPr>
          <w:rFonts w:ascii="Arial" w:hAnsi="Arial" w:cs="Arial"/>
          <w:sz w:val="24"/>
          <w:szCs w:val="24"/>
        </w:rPr>
        <w:t>in the Equality, Diversity and Inclusion Action Plan 2011 – 2013</w:t>
      </w:r>
      <w:r w:rsidR="00241CF4">
        <w:rPr>
          <w:rFonts w:ascii="Arial" w:hAnsi="Arial" w:cs="Arial"/>
          <w:sz w:val="24"/>
          <w:szCs w:val="24"/>
        </w:rPr>
        <w:t>.</w:t>
      </w:r>
      <w:r w:rsidR="003C77E9" w:rsidRPr="003C77E9">
        <w:rPr>
          <w:rFonts w:ascii="Arial" w:hAnsi="Arial" w:cs="Arial"/>
          <w:sz w:val="24"/>
          <w:szCs w:val="24"/>
        </w:rPr>
        <w:t xml:space="preserve"> </w:t>
      </w:r>
    </w:p>
    <w:p w:rsidR="003C77E9" w:rsidRDefault="00241CF4" w:rsidP="003C77E9">
      <w:pPr>
        <w:spacing w:after="0"/>
        <w:rPr>
          <w:rFonts w:ascii="Arial" w:hAnsi="Arial" w:cs="Arial"/>
          <w:sz w:val="24"/>
          <w:szCs w:val="24"/>
        </w:rPr>
      </w:pPr>
      <w:r>
        <w:rPr>
          <w:rFonts w:ascii="Arial" w:hAnsi="Arial" w:cs="Arial"/>
          <w:sz w:val="24"/>
          <w:szCs w:val="24"/>
        </w:rPr>
        <w:t>These key objectives are:</w:t>
      </w:r>
    </w:p>
    <w:p w:rsidR="00241CF4" w:rsidRDefault="00241CF4" w:rsidP="003C77E9">
      <w:pPr>
        <w:spacing w:after="0"/>
        <w:rPr>
          <w:rFonts w:ascii="Arial" w:hAnsi="Arial" w:cs="Arial"/>
          <w:sz w:val="24"/>
          <w:szCs w:val="24"/>
        </w:rPr>
      </w:pPr>
    </w:p>
    <w:p w:rsidR="003C77E9" w:rsidRDefault="003C77E9" w:rsidP="003C77E9">
      <w:pPr>
        <w:pStyle w:val="ListParagraph"/>
        <w:numPr>
          <w:ilvl w:val="0"/>
          <w:numId w:val="11"/>
        </w:numPr>
        <w:spacing w:after="0"/>
        <w:rPr>
          <w:rFonts w:ascii="Arial" w:hAnsi="Arial" w:cs="Arial"/>
          <w:sz w:val="24"/>
          <w:szCs w:val="24"/>
        </w:rPr>
      </w:pPr>
      <w:r w:rsidRPr="003C77E9">
        <w:rPr>
          <w:rFonts w:ascii="Arial" w:hAnsi="Arial" w:cs="Arial"/>
          <w:sz w:val="24"/>
          <w:szCs w:val="24"/>
        </w:rPr>
        <w:t>Improve Student Retention and Success Rates for underachieving</w:t>
      </w:r>
      <w:r w:rsidR="00557CAC">
        <w:rPr>
          <w:rFonts w:ascii="Arial" w:hAnsi="Arial" w:cs="Arial"/>
          <w:sz w:val="24"/>
          <w:szCs w:val="24"/>
        </w:rPr>
        <w:t xml:space="preserve"> </w:t>
      </w:r>
      <w:r w:rsidRPr="003C77E9">
        <w:rPr>
          <w:rFonts w:ascii="Arial" w:hAnsi="Arial" w:cs="Arial"/>
          <w:sz w:val="24"/>
          <w:szCs w:val="24"/>
        </w:rPr>
        <w:t>groups</w:t>
      </w:r>
      <w:r w:rsidR="00557CAC">
        <w:rPr>
          <w:rFonts w:ascii="Arial" w:hAnsi="Arial" w:cs="Arial"/>
          <w:sz w:val="24"/>
          <w:szCs w:val="24"/>
        </w:rPr>
        <w:t>:</w:t>
      </w:r>
    </w:p>
    <w:p w:rsidR="00B95323" w:rsidRDefault="00B95323" w:rsidP="00557CAC">
      <w:pPr>
        <w:pStyle w:val="ListParagraph"/>
        <w:numPr>
          <w:ilvl w:val="0"/>
          <w:numId w:val="12"/>
        </w:numPr>
        <w:spacing w:after="0"/>
        <w:rPr>
          <w:rFonts w:ascii="Arial" w:hAnsi="Arial" w:cs="Arial"/>
          <w:sz w:val="24"/>
          <w:szCs w:val="24"/>
        </w:rPr>
      </w:pPr>
      <w:r>
        <w:rPr>
          <w:rFonts w:ascii="Arial" w:hAnsi="Arial" w:cs="Arial"/>
          <w:sz w:val="24"/>
          <w:szCs w:val="24"/>
        </w:rPr>
        <w:t>Raise the profile of EDI developments and activities across all college areas to encourage discussion and participation in EDI related topics.</w:t>
      </w:r>
    </w:p>
    <w:p w:rsidR="003C77E9" w:rsidRDefault="00B95323" w:rsidP="00557CAC">
      <w:pPr>
        <w:pStyle w:val="ListParagraph"/>
        <w:numPr>
          <w:ilvl w:val="0"/>
          <w:numId w:val="12"/>
        </w:numPr>
        <w:spacing w:after="0"/>
        <w:rPr>
          <w:rFonts w:ascii="Arial" w:hAnsi="Arial" w:cs="Arial"/>
          <w:sz w:val="24"/>
          <w:szCs w:val="24"/>
        </w:rPr>
      </w:pPr>
      <w:r>
        <w:rPr>
          <w:rFonts w:ascii="Arial" w:hAnsi="Arial" w:cs="Arial"/>
          <w:sz w:val="24"/>
          <w:szCs w:val="24"/>
        </w:rPr>
        <w:t>Develop</w:t>
      </w:r>
      <w:r w:rsidR="00557CAC">
        <w:rPr>
          <w:rFonts w:ascii="Arial" w:hAnsi="Arial" w:cs="Arial"/>
          <w:sz w:val="24"/>
          <w:szCs w:val="24"/>
        </w:rPr>
        <w:t xml:space="preserve"> teaching resources</w:t>
      </w:r>
      <w:r>
        <w:rPr>
          <w:rFonts w:ascii="Arial" w:hAnsi="Arial" w:cs="Arial"/>
          <w:sz w:val="24"/>
          <w:szCs w:val="24"/>
        </w:rPr>
        <w:t xml:space="preserve"> to embed EDI into curriculum</w:t>
      </w:r>
      <w:r w:rsidR="00557CAC">
        <w:rPr>
          <w:rFonts w:ascii="Arial" w:hAnsi="Arial" w:cs="Arial"/>
          <w:sz w:val="24"/>
          <w:szCs w:val="24"/>
        </w:rPr>
        <w:t>.</w:t>
      </w:r>
    </w:p>
    <w:p w:rsidR="00557CAC" w:rsidRDefault="00557CAC" w:rsidP="00557CAC">
      <w:pPr>
        <w:pStyle w:val="ListParagraph"/>
        <w:numPr>
          <w:ilvl w:val="0"/>
          <w:numId w:val="12"/>
        </w:numPr>
        <w:spacing w:after="0"/>
        <w:rPr>
          <w:rFonts w:ascii="Arial" w:hAnsi="Arial" w:cs="Arial"/>
          <w:sz w:val="24"/>
          <w:szCs w:val="24"/>
        </w:rPr>
      </w:pPr>
      <w:r>
        <w:rPr>
          <w:rFonts w:ascii="Arial" w:hAnsi="Arial" w:cs="Arial"/>
          <w:sz w:val="24"/>
          <w:szCs w:val="24"/>
        </w:rPr>
        <w:t>Engage staff and learners in EDI activities.</w:t>
      </w:r>
    </w:p>
    <w:p w:rsidR="00EB2BA4" w:rsidRDefault="00006CA6" w:rsidP="00006CA6">
      <w:pPr>
        <w:pStyle w:val="ListParagraph"/>
        <w:numPr>
          <w:ilvl w:val="0"/>
          <w:numId w:val="12"/>
        </w:numPr>
        <w:spacing w:after="0"/>
        <w:rPr>
          <w:rFonts w:ascii="Arial" w:hAnsi="Arial" w:cs="Arial"/>
          <w:sz w:val="24"/>
          <w:szCs w:val="24"/>
        </w:rPr>
      </w:pPr>
      <w:r w:rsidRPr="00EB2BA4">
        <w:rPr>
          <w:rFonts w:ascii="Arial" w:hAnsi="Arial" w:cs="Arial"/>
          <w:sz w:val="24"/>
          <w:szCs w:val="24"/>
        </w:rPr>
        <w:t>Target setting and monitoring of EDI data to ensure individual needs are met and achievement gaps are narrowed.</w:t>
      </w:r>
    </w:p>
    <w:p w:rsidR="00006CA6" w:rsidRPr="00EB2BA4" w:rsidRDefault="00EB2BA4" w:rsidP="00006CA6">
      <w:pPr>
        <w:pStyle w:val="ListParagraph"/>
        <w:numPr>
          <w:ilvl w:val="0"/>
          <w:numId w:val="12"/>
        </w:numPr>
        <w:spacing w:after="0"/>
        <w:rPr>
          <w:rFonts w:ascii="Arial" w:hAnsi="Arial" w:cs="Arial"/>
          <w:sz w:val="24"/>
          <w:szCs w:val="24"/>
        </w:rPr>
      </w:pPr>
      <w:r w:rsidRPr="00EB2BA4">
        <w:rPr>
          <w:rFonts w:ascii="Arial" w:hAnsi="Arial" w:cs="Arial"/>
          <w:sz w:val="24"/>
          <w:szCs w:val="24"/>
        </w:rPr>
        <w:t>Identify achievement issues for learners at school level and set school targets to narrow achievement gaps</w:t>
      </w:r>
      <w:r>
        <w:rPr>
          <w:rFonts w:ascii="Arial" w:hAnsi="Arial" w:cs="Arial"/>
          <w:sz w:val="24"/>
          <w:szCs w:val="24"/>
        </w:rPr>
        <w:t>.</w:t>
      </w:r>
    </w:p>
    <w:p w:rsidR="00006CA6" w:rsidRPr="00006CA6" w:rsidRDefault="00006CA6" w:rsidP="00006CA6">
      <w:pPr>
        <w:pStyle w:val="ListParagraph"/>
        <w:spacing w:after="0"/>
        <w:rPr>
          <w:rFonts w:ascii="Arial" w:hAnsi="Arial" w:cs="Arial"/>
          <w:sz w:val="24"/>
          <w:szCs w:val="24"/>
        </w:rPr>
      </w:pPr>
    </w:p>
    <w:p w:rsidR="00BB0E62" w:rsidRPr="003C77E9" w:rsidRDefault="003C77E9" w:rsidP="003C77E9">
      <w:pPr>
        <w:pStyle w:val="ListParagraph"/>
        <w:numPr>
          <w:ilvl w:val="0"/>
          <w:numId w:val="11"/>
        </w:numPr>
        <w:spacing w:after="0"/>
        <w:rPr>
          <w:rFonts w:ascii="Arial" w:hAnsi="Arial" w:cs="Arial"/>
          <w:sz w:val="24"/>
          <w:szCs w:val="24"/>
        </w:rPr>
      </w:pPr>
      <w:r w:rsidRPr="003C77E9">
        <w:rPr>
          <w:rFonts w:ascii="Arial" w:hAnsi="Arial" w:cs="Arial"/>
          <w:sz w:val="24"/>
          <w:szCs w:val="24"/>
        </w:rPr>
        <w:t>Deliver Mandatory EDI Training to all staff.</w:t>
      </w:r>
    </w:p>
    <w:p w:rsidR="00557CAC" w:rsidRPr="00557CAC" w:rsidRDefault="00557CAC" w:rsidP="00557CAC">
      <w:pPr>
        <w:pStyle w:val="ListParagraph"/>
        <w:numPr>
          <w:ilvl w:val="1"/>
          <w:numId w:val="13"/>
        </w:numPr>
        <w:spacing w:after="0"/>
        <w:rPr>
          <w:rFonts w:ascii="Arial" w:hAnsi="Arial" w:cs="Arial"/>
          <w:sz w:val="24"/>
          <w:szCs w:val="24"/>
        </w:rPr>
      </w:pPr>
      <w:r w:rsidRPr="00557CAC">
        <w:rPr>
          <w:rFonts w:ascii="Arial" w:hAnsi="Arial" w:cs="Arial"/>
          <w:sz w:val="24"/>
          <w:szCs w:val="24"/>
        </w:rPr>
        <w:t xml:space="preserve">Develop a range of training resources and </w:t>
      </w:r>
      <w:r w:rsidR="00241CF4">
        <w:rPr>
          <w:rFonts w:ascii="Arial" w:hAnsi="Arial" w:cs="Arial"/>
          <w:sz w:val="24"/>
          <w:szCs w:val="24"/>
        </w:rPr>
        <w:t>materials</w:t>
      </w:r>
      <w:r w:rsidR="00241CF4" w:rsidRPr="00557CAC">
        <w:rPr>
          <w:rFonts w:ascii="Arial" w:hAnsi="Arial" w:cs="Arial"/>
          <w:sz w:val="24"/>
          <w:szCs w:val="24"/>
        </w:rPr>
        <w:t xml:space="preserve"> </w:t>
      </w:r>
      <w:r w:rsidRPr="00557CAC">
        <w:rPr>
          <w:rFonts w:ascii="Arial" w:hAnsi="Arial" w:cs="Arial"/>
          <w:sz w:val="24"/>
          <w:szCs w:val="24"/>
        </w:rPr>
        <w:t xml:space="preserve">to update the understanding of EDI concepts </w:t>
      </w:r>
      <w:r w:rsidR="00241CF4">
        <w:rPr>
          <w:rFonts w:ascii="Arial" w:hAnsi="Arial" w:cs="Arial"/>
          <w:sz w:val="24"/>
          <w:szCs w:val="24"/>
        </w:rPr>
        <w:t>for</w:t>
      </w:r>
      <w:r w:rsidR="00241CF4" w:rsidRPr="00557CAC">
        <w:rPr>
          <w:rFonts w:ascii="Arial" w:hAnsi="Arial" w:cs="Arial"/>
          <w:sz w:val="24"/>
          <w:szCs w:val="24"/>
        </w:rPr>
        <w:t xml:space="preserve"> </w:t>
      </w:r>
      <w:r w:rsidRPr="00557CAC">
        <w:rPr>
          <w:rFonts w:ascii="Arial" w:hAnsi="Arial" w:cs="Arial"/>
          <w:sz w:val="24"/>
          <w:szCs w:val="24"/>
        </w:rPr>
        <w:t>ALL staff.</w:t>
      </w:r>
    </w:p>
    <w:p w:rsidR="00557CAC" w:rsidRPr="00557CAC" w:rsidRDefault="00557CAC" w:rsidP="00557CAC">
      <w:pPr>
        <w:pStyle w:val="ListParagraph"/>
        <w:numPr>
          <w:ilvl w:val="1"/>
          <w:numId w:val="13"/>
        </w:numPr>
        <w:spacing w:after="0"/>
        <w:rPr>
          <w:rFonts w:ascii="Arial" w:hAnsi="Arial" w:cs="Arial"/>
          <w:sz w:val="24"/>
          <w:szCs w:val="24"/>
        </w:rPr>
      </w:pPr>
      <w:r w:rsidRPr="00557CAC">
        <w:rPr>
          <w:rFonts w:ascii="Arial" w:hAnsi="Arial" w:cs="Arial"/>
          <w:sz w:val="24"/>
          <w:szCs w:val="24"/>
        </w:rPr>
        <w:t xml:space="preserve">Ensure ALL staff understand their </w:t>
      </w:r>
      <w:r w:rsidR="00241CF4">
        <w:rPr>
          <w:rFonts w:ascii="Arial" w:hAnsi="Arial" w:cs="Arial"/>
          <w:sz w:val="24"/>
          <w:szCs w:val="24"/>
        </w:rPr>
        <w:t xml:space="preserve">own </w:t>
      </w:r>
      <w:r w:rsidRPr="00557CAC">
        <w:rPr>
          <w:rFonts w:ascii="Arial" w:hAnsi="Arial" w:cs="Arial"/>
          <w:sz w:val="24"/>
          <w:szCs w:val="24"/>
        </w:rPr>
        <w:t>and the college’s legislative duties.</w:t>
      </w:r>
    </w:p>
    <w:p w:rsidR="00F655CF" w:rsidRDefault="00F655CF" w:rsidP="00F655CF">
      <w:pPr>
        <w:spacing w:after="0"/>
        <w:rPr>
          <w:rFonts w:ascii="Arial" w:hAnsi="Arial" w:cs="Arial"/>
          <w:sz w:val="24"/>
          <w:szCs w:val="24"/>
        </w:rPr>
      </w:pPr>
    </w:p>
    <w:p w:rsidR="00241CF4" w:rsidRDefault="00241CF4" w:rsidP="00F655CF">
      <w:pPr>
        <w:spacing w:after="0"/>
        <w:rPr>
          <w:rFonts w:ascii="Arial" w:hAnsi="Arial" w:cs="Arial"/>
          <w:b/>
          <w:sz w:val="24"/>
          <w:szCs w:val="24"/>
        </w:rPr>
      </w:pPr>
    </w:p>
    <w:p w:rsidR="00241CF4" w:rsidRDefault="00241CF4" w:rsidP="00F655CF">
      <w:pPr>
        <w:spacing w:after="0"/>
        <w:rPr>
          <w:rFonts w:ascii="Arial" w:hAnsi="Arial" w:cs="Arial"/>
          <w:b/>
          <w:sz w:val="24"/>
          <w:szCs w:val="24"/>
        </w:rPr>
      </w:pPr>
    </w:p>
    <w:p w:rsidR="00241CF4" w:rsidRDefault="00241CF4" w:rsidP="00F655CF">
      <w:pPr>
        <w:spacing w:after="0"/>
        <w:rPr>
          <w:rFonts w:ascii="Arial" w:hAnsi="Arial" w:cs="Arial"/>
          <w:b/>
          <w:sz w:val="24"/>
          <w:szCs w:val="24"/>
        </w:rPr>
      </w:pPr>
    </w:p>
    <w:p w:rsidR="00557CAC" w:rsidRPr="00635BCA" w:rsidRDefault="00F655CF" w:rsidP="00F655CF">
      <w:pPr>
        <w:spacing w:after="0"/>
        <w:rPr>
          <w:rFonts w:ascii="Arial" w:hAnsi="Arial" w:cs="Arial"/>
          <w:b/>
          <w:sz w:val="24"/>
          <w:szCs w:val="24"/>
        </w:rPr>
      </w:pPr>
      <w:r w:rsidRPr="00635BCA">
        <w:rPr>
          <w:rFonts w:ascii="Arial" w:hAnsi="Arial" w:cs="Arial"/>
          <w:b/>
          <w:sz w:val="24"/>
          <w:szCs w:val="24"/>
        </w:rPr>
        <w:lastRenderedPageBreak/>
        <w:t>Transparency</w:t>
      </w:r>
      <w:r w:rsidR="00557CAC" w:rsidRPr="00635BCA">
        <w:rPr>
          <w:rFonts w:ascii="Arial" w:hAnsi="Arial" w:cs="Arial"/>
          <w:b/>
          <w:sz w:val="24"/>
          <w:szCs w:val="24"/>
        </w:rPr>
        <w:t xml:space="preserve"> </w:t>
      </w:r>
    </w:p>
    <w:p w:rsidR="00F655CF" w:rsidRDefault="00F655CF" w:rsidP="00F655CF">
      <w:pPr>
        <w:spacing w:after="0"/>
        <w:rPr>
          <w:rFonts w:ascii="Arial" w:hAnsi="Arial" w:cs="Arial"/>
          <w:sz w:val="24"/>
          <w:szCs w:val="24"/>
        </w:rPr>
      </w:pPr>
    </w:p>
    <w:p w:rsidR="00E61B53" w:rsidRPr="00BB0E62" w:rsidRDefault="00580DAA" w:rsidP="00F655CF">
      <w:pPr>
        <w:spacing w:after="0"/>
        <w:rPr>
          <w:rFonts w:ascii="Arial" w:hAnsi="Arial" w:cs="Arial"/>
          <w:sz w:val="24"/>
          <w:szCs w:val="24"/>
        </w:rPr>
      </w:pPr>
      <w:r>
        <w:rPr>
          <w:rFonts w:ascii="Arial" w:hAnsi="Arial" w:cs="Arial"/>
          <w:sz w:val="24"/>
          <w:szCs w:val="24"/>
        </w:rPr>
        <w:t xml:space="preserve">In April 2012, </w:t>
      </w:r>
      <w:r w:rsidR="00241CF4">
        <w:rPr>
          <w:rFonts w:ascii="Arial" w:hAnsi="Arial" w:cs="Arial"/>
          <w:sz w:val="24"/>
          <w:szCs w:val="24"/>
        </w:rPr>
        <w:t>the</w:t>
      </w:r>
      <w:r>
        <w:rPr>
          <w:rFonts w:ascii="Arial" w:hAnsi="Arial" w:cs="Arial"/>
          <w:sz w:val="24"/>
          <w:szCs w:val="24"/>
        </w:rPr>
        <w:t xml:space="preserve"> College published this data on the college</w:t>
      </w:r>
      <w:r w:rsidR="00F118A0">
        <w:rPr>
          <w:rFonts w:ascii="Arial" w:hAnsi="Arial" w:cs="Arial"/>
          <w:sz w:val="24"/>
          <w:szCs w:val="24"/>
        </w:rPr>
        <w:t xml:space="preserve"> </w:t>
      </w:r>
      <w:r w:rsidRPr="00BB0E62">
        <w:rPr>
          <w:rFonts w:ascii="Arial" w:hAnsi="Arial" w:cs="Arial"/>
          <w:sz w:val="24"/>
          <w:szCs w:val="24"/>
        </w:rPr>
        <w:t>website, accessed via a link entitled ‘Equality &amp; Diversity’ which is located at the bottom of each screen.  Published data include</w:t>
      </w:r>
      <w:r w:rsidR="00241CF4">
        <w:rPr>
          <w:rFonts w:ascii="Arial" w:hAnsi="Arial" w:cs="Arial"/>
          <w:sz w:val="24"/>
          <w:szCs w:val="24"/>
        </w:rPr>
        <w:t>s</w:t>
      </w:r>
      <w:r w:rsidRPr="00BB0E62">
        <w:rPr>
          <w:rFonts w:ascii="Arial" w:hAnsi="Arial" w:cs="Arial"/>
          <w:sz w:val="24"/>
          <w:szCs w:val="24"/>
        </w:rPr>
        <w:t xml:space="preserve"> </w:t>
      </w:r>
      <w:r w:rsidR="00F118A0" w:rsidRPr="00BB0E62">
        <w:rPr>
          <w:rFonts w:ascii="Arial" w:hAnsi="Arial" w:cs="Arial"/>
          <w:sz w:val="24"/>
          <w:szCs w:val="24"/>
        </w:rPr>
        <w:t>staff and learner profile charts, SSR tables, all equality policies, impact assessments</w:t>
      </w:r>
      <w:r w:rsidR="00241CF4">
        <w:rPr>
          <w:rFonts w:ascii="Arial" w:hAnsi="Arial" w:cs="Arial"/>
          <w:sz w:val="24"/>
          <w:szCs w:val="24"/>
        </w:rPr>
        <w:t xml:space="preserve"> (now called Equality Analysis)</w:t>
      </w:r>
      <w:r w:rsidR="00F118A0" w:rsidRPr="00BB0E62">
        <w:rPr>
          <w:rFonts w:ascii="Arial" w:hAnsi="Arial" w:cs="Arial"/>
          <w:sz w:val="24"/>
          <w:szCs w:val="24"/>
        </w:rPr>
        <w:t xml:space="preserve">, action plans and key objectives documentation.  </w:t>
      </w:r>
    </w:p>
    <w:p w:rsidR="00ED132F" w:rsidRPr="00BB0E62" w:rsidRDefault="00ED132F" w:rsidP="00ED132F">
      <w:pPr>
        <w:tabs>
          <w:tab w:val="left" w:pos="510"/>
          <w:tab w:val="center" w:pos="4535"/>
        </w:tabs>
        <w:spacing w:after="0" w:line="240" w:lineRule="auto"/>
        <w:rPr>
          <w:rFonts w:ascii="Arial" w:eastAsia="Times New Roman" w:hAnsi="Arial" w:cs="Arial"/>
          <w:sz w:val="24"/>
          <w:szCs w:val="24"/>
          <w:lang w:eastAsia="en-GB"/>
        </w:rPr>
      </w:pPr>
    </w:p>
    <w:p w:rsidR="00DA01A0" w:rsidRPr="00635BCA" w:rsidRDefault="00F655CF" w:rsidP="00460E31">
      <w:pPr>
        <w:spacing w:after="0"/>
        <w:rPr>
          <w:rFonts w:ascii="Arial" w:hAnsi="Arial" w:cs="Arial"/>
          <w:b/>
          <w:sz w:val="24"/>
          <w:szCs w:val="24"/>
        </w:rPr>
      </w:pPr>
      <w:r w:rsidRPr="00635BCA">
        <w:rPr>
          <w:rFonts w:ascii="Arial" w:hAnsi="Arial" w:cs="Arial"/>
          <w:b/>
          <w:sz w:val="24"/>
          <w:szCs w:val="24"/>
        </w:rPr>
        <w:t>2</w:t>
      </w:r>
      <w:r w:rsidR="001156C2" w:rsidRPr="00635BCA">
        <w:rPr>
          <w:rFonts w:ascii="Arial" w:hAnsi="Arial" w:cs="Arial"/>
          <w:b/>
          <w:sz w:val="24"/>
          <w:szCs w:val="24"/>
        </w:rPr>
        <w:t>b</w:t>
      </w:r>
      <w:r w:rsidR="00460E31" w:rsidRPr="00635BCA">
        <w:rPr>
          <w:rFonts w:ascii="Arial" w:hAnsi="Arial" w:cs="Arial"/>
          <w:b/>
          <w:sz w:val="24"/>
          <w:szCs w:val="24"/>
        </w:rPr>
        <w:t xml:space="preserve">. </w:t>
      </w:r>
      <w:r w:rsidR="00DA01A0" w:rsidRPr="00635BCA">
        <w:rPr>
          <w:rFonts w:ascii="Arial" w:hAnsi="Arial" w:cs="Arial"/>
          <w:b/>
          <w:sz w:val="24"/>
          <w:szCs w:val="24"/>
        </w:rPr>
        <w:t xml:space="preserve">EDI </w:t>
      </w:r>
      <w:r w:rsidR="00460E31" w:rsidRPr="00635BCA">
        <w:rPr>
          <w:rFonts w:ascii="Arial" w:hAnsi="Arial" w:cs="Arial"/>
          <w:b/>
          <w:sz w:val="24"/>
          <w:szCs w:val="24"/>
        </w:rPr>
        <w:t>Committee</w:t>
      </w:r>
    </w:p>
    <w:p w:rsidR="00B95323" w:rsidRDefault="00B95323" w:rsidP="00DA01A0">
      <w:pPr>
        <w:spacing w:after="0"/>
        <w:rPr>
          <w:rFonts w:ascii="Arial" w:hAnsi="Arial" w:cs="Arial"/>
          <w:sz w:val="24"/>
          <w:szCs w:val="24"/>
        </w:rPr>
      </w:pPr>
    </w:p>
    <w:p w:rsidR="00884F4E" w:rsidRDefault="00DA01A0" w:rsidP="00DA01A0">
      <w:pPr>
        <w:spacing w:after="0"/>
        <w:rPr>
          <w:rFonts w:ascii="Arial" w:hAnsi="Arial" w:cs="Arial"/>
          <w:sz w:val="24"/>
          <w:szCs w:val="24"/>
        </w:rPr>
      </w:pPr>
      <w:r w:rsidRPr="00DA01A0">
        <w:rPr>
          <w:rFonts w:ascii="Arial" w:hAnsi="Arial" w:cs="Arial"/>
          <w:sz w:val="24"/>
          <w:szCs w:val="24"/>
        </w:rPr>
        <w:t>The commitment to Equality, Diversity and Inclusion (EDI) is endorsed and led by the Equality, Diversity and Inclusion Committee</w:t>
      </w:r>
      <w:r w:rsidR="00460E31">
        <w:rPr>
          <w:rFonts w:ascii="Arial" w:hAnsi="Arial" w:cs="Arial"/>
          <w:sz w:val="24"/>
          <w:szCs w:val="24"/>
        </w:rPr>
        <w:t>.  The Committee meets on a half termly basis</w:t>
      </w:r>
      <w:r w:rsidR="00241CF4">
        <w:rPr>
          <w:rFonts w:ascii="Arial" w:hAnsi="Arial" w:cs="Arial"/>
          <w:sz w:val="24"/>
          <w:szCs w:val="24"/>
        </w:rPr>
        <w:t xml:space="preserve"> and comprises of student, union, Academic and Business staff members at all levels</w:t>
      </w:r>
      <w:r w:rsidR="00460E31">
        <w:rPr>
          <w:rFonts w:ascii="Arial" w:hAnsi="Arial" w:cs="Arial"/>
          <w:sz w:val="24"/>
          <w:szCs w:val="24"/>
        </w:rPr>
        <w:t>.</w:t>
      </w:r>
      <w:r w:rsidR="00241CF4">
        <w:rPr>
          <w:rFonts w:ascii="Arial" w:hAnsi="Arial" w:cs="Arial"/>
          <w:sz w:val="24"/>
          <w:szCs w:val="24"/>
        </w:rPr>
        <w:t xml:space="preserve"> It is chaired </w:t>
      </w:r>
      <w:r w:rsidR="00B74048">
        <w:rPr>
          <w:rFonts w:ascii="Arial" w:hAnsi="Arial" w:cs="Arial"/>
          <w:sz w:val="24"/>
          <w:szCs w:val="24"/>
        </w:rPr>
        <w:t>by the</w:t>
      </w:r>
      <w:r w:rsidR="00241CF4">
        <w:rPr>
          <w:rFonts w:ascii="Arial" w:hAnsi="Arial" w:cs="Arial"/>
          <w:sz w:val="24"/>
          <w:szCs w:val="24"/>
        </w:rPr>
        <w:t xml:space="preserve"> Vice Principal for Organisational Development</w:t>
      </w:r>
      <w:r w:rsidR="00B74048">
        <w:rPr>
          <w:rFonts w:ascii="Arial" w:hAnsi="Arial" w:cs="Arial"/>
          <w:sz w:val="24"/>
          <w:szCs w:val="24"/>
        </w:rPr>
        <w:t xml:space="preserve"> </w:t>
      </w:r>
      <w:r w:rsidR="00FA1101">
        <w:rPr>
          <w:rFonts w:ascii="Arial" w:hAnsi="Arial" w:cs="Arial"/>
          <w:sz w:val="24"/>
          <w:szCs w:val="24"/>
        </w:rPr>
        <w:t>and the agenda is driven through the EDI team.</w:t>
      </w:r>
    </w:p>
    <w:p w:rsidR="00FA1101" w:rsidRDefault="00FA1101" w:rsidP="00DA01A0">
      <w:pPr>
        <w:spacing w:after="0"/>
        <w:rPr>
          <w:rFonts w:ascii="Arial" w:hAnsi="Arial" w:cs="Arial"/>
          <w:sz w:val="24"/>
          <w:szCs w:val="24"/>
        </w:rPr>
      </w:pPr>
    </w:p>
    <w:p w:rsidR="009320AE" w:rsidRDefault="00884F4E" w:rsidP="00DA01A0">
      <w:pPr>
        <w:spacing w:after="0"/>
        <w:rPr>
          <w:rFonts w:ascii="Arial" w:hAnsi="Arial" w:cs="Arial"/>
          <w:sz w:val="24"/>
          <w:szCs w:val="24"/>
        </w:rPr>
      </w:pPr>
      <w:r>
        <w:rPr>
          <w:rFonts w:ascii="Arial" w:hAnsi="Arial" w:cs="Arial"/>
          <w:sz w:val="24"/>
          <w:szCs w:val="24"/>
        </w:rPr>
        <w:t>The Committee’s remit is:</w:t>
      </w:r>
    </w:p>
    <w:p w:rsidR="00884F4E" w:rsidRPr="00884F4E" w:rsidRDefault="00884F4E" w:rsidP="00884F4E">
      <w:pPr>
        <w:pStyle w:val="ListParagraph"/>
        <w:numPr>
          <w:ilvl w:val="0"/>
          <w:numId w:val="26"/>
        </w:numPr>
        <w:spacing w:after="0"/>
        <w:rPr>
          <w:rFonts w:ascii="Arial" w:hAnsi="Arial" w:cs="Arial"/>
          <w:sz w:val="24"/>
          <w:szCs w:val="24"/>
        </w:rPr>
      </w:pPr>
      <w:r w:rsidRPr="00884F4E">
        <w:rPr>
          <w:rFonts w:ascii="Arial" w:hAnsi="Arial" w:cs="Arial"/>
          <w:sz w:val="24"/>
          <w:szCs w:val="24"/>
        </w:rPr>
        <w:t>To ensure there is a comprehensive and effective suite of College Equality and Diversity Policies which comply with legislative requirements and are actively implemented across the College.</w:t>
      </w:r>
    </w:p>
    <w:p w:rsidR="00884F4E" w:rsidRPr="00884F4E" w:rsidRDefault="00884F4E" w:rsidP="00884F4E">
      <w:pPr>
        <w:spacing w:after="0"/>
        <w:rPr>
          <w:rFonts w:ascii="Arial" w:hAnsi="Arial" w:cs="Arial"/>
          <w:sz w:val="24"/>
          <w:szCs w:val="24"/>
        </w:rPr>
      </w:pPr>
    </w:p>
    <w:p w:rsidR="00884F4E" w:rsidRPr="00884F4E" w:rsidRDefault="00884F4E" w:rsidP="00884F4E">
      <w:pPr>
        <w:pStyle w:val="ListParagraph"/>
        <w:numPr>
          <w:ilvl w:val="0"/>
          <w:numId w:val="26"/>
        </w:numPr>
        <w:spacing w:after="0"/>
        <w:rPr>
          <w:rFonts w:ascii="Arial" w:hAnsi="Arial" w:cs="Arial"/>
          <w:sz w:val="24"/>
          <w:szCs w:val="24"/>
        </w:rPr>
      </w:pPr>
      <w:r w:rsidRPr="00884F4E">
        <w:rPr>
          <w:rFonts w:ascii="Arial" w:hAnsi="Arial" w:cs="Arial"/>
          <w:sz w:val="24"/>
          <w:szCs w:val="24"/>
        </w:rPr>
        <w:t>To ensure that the whole College community owns and actively implements the Equality &amp; Diversity Policies and action plans within the College’s strategic framework.</w:t>
      </w:r>
    </w:p>
    <w:p w:rsidR="00884F4E" w:rsidRPr="00884F4E" w:rsidRDefault="00884F4E" w:rsidP="00884F4E">
      <w:pPr>
        <w:spacing w:after="0"/>
        <w:rPr>
          <w:rFonts w:ascii="Arial" w:hAnsi="Arial" w:cs="Arial"/>
          <w:sz w:val="24"/>
          <w:szCs w:val="24"/>
        </w:rPr>
      </w:pPr>
    </w:p>
    <w:p w:rsidR="00884F4E" w:rsidRPr="00884F4E" w:rsidRDefault="00884F4E" w:rsidP="00884F4E">
      <w:pPr>
        <w:pStyle w:val="ListParagraph"/>
        <w:numPr>
          <w:ilvl w:val="0"/>
          <w:numId w:val="26"/>
        </w:numPr>
        <w:spacing w:after="0"/>
        <w:rPr>
          <w:rFonts w:ascii="Arial" w:hAnsi="Arial" w:cs="Arial"/>
          <w:sz w:val="24"/>
          <w:szCs w:val="24"/>
        </w:rPr>
      </w:pPr>
      <w:r w:rsidRPr="00884F4E">
        <w:rPr>
          <w:rFonts w:ascii="Arial" w:hAnsi="Arial" w:cs="Arial"/>
          <w:sz w:val="24"/>
          <w:szCs w:val="24"/>
        </w:rPr>
        <w:t>To ensure that Equality, Diversity and Inclusion is at the forefront of the College’s strategic and operational planning.</w:t>
      </w:r>
    </w:p>
    <w:p w:rsidR="00884F4E" w:rsidRPr="00884F4E" w:rsidRDefault="00884F4E" w:rsidP="00884F4E">
      <w:pPr>
        <w:spacing w:after="0"/>
        <w:rPr>
          <w:rFonts w:ascii="Arial" w:hAnsi="Arial" w:cs="Arial"/>
          <w:sz w:val="24"/>
          <w:szCs w:val="24"/>
        </w:rPr>
      </w:pPr>
    </w:p>
    <w:p w:rsidR="00884F4E" w:rsidRPr="00884F4E" w:rsidRDefault="00884F4E" w:rsidP="00884F4E">
      <w:pPr>
        <w:pStyle w:val="ListParagraph"/>
        <w:numPr>
          <w:ilvl w:val="0"/>
          <w:numId w:val="26"/>
        </w:numPr>
        <w:spacing w:after="0"/>
        <w:rPr>
          <w:rFonts w:ascii="Arial" w:hAnsi="Arial" w:cs="Arial"/>
          <w:sz w:val="24"/>
          <w:szCs w:val="24"/>
        </w:rPr>
      </w:pPr>
      <w:r w:rsidRPr="00884F4E">
        <w:rPr>
          <w:rFonts w:ascii="Arial" w:hAnsi="Arial" w:cs="Arial"/>
          <w:sz w:val="24"/>
          <w:szCs w:val="24"/>
        </w:rPr>
        <w:t xml:space="preserve">To create an environment where people understand and respect each other and where issues can be discussed and debated by students and staff in a constructive and mature way. </w:t>
      </w:r>
    </w:p>
    <w:p w:rsidR="00884F4E" w:rsidRDefault="00FA1101" w:rsidP="00884F4E">
      <w:pPr>
        <w:spacing w:after="0"/>
        <w:rPr>
          <w:rFonts w:ascii="Arial" w:hAnsi="Arial" w:cs="Arial"/>
          <w:sz w:val="24"/>
          <w:szCs w:val="24"/>
        </w:rPr>
      </w:pPr>
      <w:r>
        <w:rPr>
          <w:rFonts w:ascii="Arial" w:hAnsi="Arial" w:cs="Arial"/>
          <w:sz w:val="24"/>
          <w:szCs w:val="24"/>
        </w:rPr>
        <w:t>The terms of reference and membership were reviewed and updated in November 2012.</w:t>
      </w:r>
    </w:p>
    <w:p w:rsidR="00635BCA" w:rsidRDefault="00635BCA" w:rsidP="00884F4E">
      <w:pPr>
        <w:spacing w:after="0"/>
        <w:rPr>
          <w:rFonts w:ascii="Arial" w:hAnsi="Arial" w:cs="Arial"/>
          <w:b/>
          <w:sz w:val="24"/>
          <w:szCs w:val="24"/>
        </w:rPr>
      </w:pPr>
    </w:p>
    <w:p w:rsidR="00635BCA" w:rsidRDefault="00635BCA" w:rsidP="00884F4E">
      <w:pPr>
        <w:spacing w:after="0"/>
        <w:rPr>
          <w:rFonts w:ascii="Arial" w:hAnsi="Arial" w:cs="Arial"/>
          <w:b/>
          <w:sz w:val="24"/>
          <w:szCs w:val="24"/>
        </w:rPr>
      </w:pPr>
    </w:p>
    <w:p w:rsidR="00635BCA" w:rsidRDefault="00635BCA"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B74048" w:rsidRDefault="00B74048" w:rsidP="00884F4E">
      <w:pPr>
        <w:spacing w:after="0"/>
        <w:rPr>
          <w:rFonts w:ascii="Arial" w:hAnsi="Arial" w:cs="Arial"/>
          <w:b/>
          <w:sz w:val="24"/>
          <w:szCs w:val="24"/>
        </w:rPr>
      </w:pPr>
    </w:p>
    <w:p w:rsidR="00884F4E" w:rsidRPr="00635BCA" w:rsidRDefault="00884F4E" w:rsidP="00884F4E">
      <w:pPr>
        <w:spacing w:after="0"/>
        <w:rPr>
          <w:rFonts w:ascii="Arial" w:hAnsi="Arial" w:cs="Arial"/>
          <w:b/>
          <w:sz w:val="24"/>
          <w:szCs w:val="24"/>
        </w:rPr>
      </w:pPr>
      <w:r w:rsidRPr="00635BCA">
        <w:rPr>
          <w:rFonts w:ascii="Arial" w:hAnsi="Arial" w:cs="Arial"/>
          <w:b/>
          <w:sz w:val="24"/>
          <w:szCs w:val="24"/>
        </w:rPr>
        <w:lastRenderedPageBreak/>
        <w:t>3.  Staff and Learner Profiles</w:t>
      </w:r>
    </w:p>
    <w:p w:rsidR="00635BCA" w:rsidRDefault="00635BCA" w:rsidP="00884F4E">
      <w:pPr>
        <w:spacing w:after="0"/>
        <w:rPr>
          <w:rFonts w:ascii="Arial" w:hAnsi="Arial" w:cs="Arial"/>
          <w:sz w:val="24"/>
          <w:szCs w:val="24"/>
        </w:rPr>
      </w:pPr>
    </w:p>
    <w:p w:rsidR="00884F4E" w:rsidRDefault="00884F4E" w:rsidP="00884F4E">
      <w:pPr>
        <w:spacing w:after="0"/>
        <w:rPr>
          <w:rFonts w:ascii="Arial" w:hAnsi="Arial" w:cs="Arial"/>
          <w:sz w:val="24"/>
          <w:szCs w:val="24"/>
        </w:rPr>
      </w:pPr>
      <w:r>
        <w:rPr>
          <w:rFonts w:ascii="Arial" w:hAnsi="Arial" w:cs="Arial"/>
          <w:sz w:val="24"/>
          <w:szCs w:val="24"/>
        </w:rPr>
        <w:t>The College is proud of and values the rich diversity of its learners and staff and is committed to supporting and celebrating the contributions made by all working and learning at the college.</w:t>
      </w:r>
      <w:r w:rsidR="001C565F">
        <w:rPr>
          <w:rFonts w:ascii="Arial" w:hAnsi="Arial" w:cs="Arial"/>
          <w:sz w:val="24"/>
          <w:szCs w:val="24"/>
        </w:rPr>
        <w:t xml:space="preserve">  </w:t>
      </w:r>
    </w:p>
    <w:p w:rsidR="00884F4E" w:rsidRDefault="00884F4E" w:rsidP="00884F4E">
      <w:pPr>
        <w:spacing w:after="0"/>
        <w:rPr>
          <w:rFonts w:ascii="Arial" w:hAnsi="Arial" w:cs="Arial"/>
          <w:sz w:val="24"/>
          <w:szCs w:val="24"/>
        </w:rPr>
      </w:pPr>
    </w:p>
    <w:p w:rsidR="009320AE" w:rsidRPr="00635BCA" w:rsidRDefault="001C565F" w:rsidP="00884F4E">
      <w:pPr>
        <w:spacing w:after="0"/>
        <w:rPr>
          <w:rFonts w:ascii="Arial" w:hAnsi="Arial" w:cs="Arial"/>
          <w:b/>
          <w:sz w:val="24"/>
          <w:szCs w:val="24"/>
        </w:rPr>
      </w:pPr>
      <w:r w:rsidRPr="00635BCA">
        <w:rPr>
          <w:rFonts w:ascii="Arial" w:hAnsi="Arial" w:cs="Arial"/>
          <w:b/>
          <w:sz w:val="24"/>
          <w:szCs w:val="24"/>
        </w:rPr>
        <w:t>3a</w:t>
      </w:r>
      <w:proofErr w:type="gramStart"/>
      <w:r w:rsidRPr="00635BCA">
        <w:rPr>
          <w:rFonts w:ascii="Arial" w:hAnsi="Arial" w:cs="Arial"/>
          <w:b/>
          <w:sz w:val="24"/>
          <w:szCs w:val="24"/>
        </w:rPr>
        <w:t xml:space="preserve">.  </w:t>
      </w:r>
      <w:r w:rsidR="00460E31" w:rsidRPr="00635BCA">
        <w:rPr>
          <w:rFonts w:ascii="Arial" w:hAnsi="Arial" w:cs="Arial"/>
          <w:b/>
          <w:sz w:val="24"/>
          <w:szCs w:val="24"/>
        </w:rPr>
        <w:t>Staff</w:t>
      </w:r>
      <w:proofErr w:type="gramEnd"/>
      <w:r w:rsidR="00460E31" w:rsidRPr="00635BCA">
        <w:rPr>
          <w:rFonts w:ascii="Arial" w:hAnsi="Arial" w:cs="Arial"/>
          <w:b/>
          <w:sz w:val="24"/>
          <w:szCs w:val="24"/>
        </w:rPr>
        <w:t xml:space="preserve"> Profile</w:t>
      </w:r>
    </w:p>
    <w:p w:rsidR="001C565F" w:rsidRDefault="001C565F" w:rsidP="00884F4E">
      <w:pPr>
        <w:spacing w:after="0"/>
        <w:rPr>
          <w:rFonts w:ascii="Arial" w:hAnsi="Arial" w:cs="Arial"/>
          <w:sz w:val="24"/>
          <w:szCs w:val="24"/>
        </w:rPr>
      </w:pPr>
    </w:p>
    <w:p w:rsidR="001C565F" w:rsidRDefault="001C565F" w:rsidP="00884F4E">
      <w:pPr>
        <w:spacing w:after="0"/>
        <w:rPr>
          <w:rFonts w:ascii="Arial" w:hAnsi="Arial" w:cs="Arial"/>
          <w:sz w:val="24"/>
          <w:szCs w:val="24"/>
        </w:rPr>
      </w:pPr>
      <w:r>
        <w:rPr>
          <w:rFonts w:ascii="Arial" w:hAnsi="Arial" w:cs="Arial"/>
          <w:sz w:val="24"/>
          <w:szCs w:val="24"/>
        </w:rPr>
        <w:t xml:space="preserve">This section provides the headline EDI related data which describes the composition of the workforce at the end of </w:t>
      </w:r>
      <w:r w:rsidR="00FA1101">
        <w:rPr>
          <w:rFonts w:ascii="Arial" w:hAnsi="Arial" w:cs="Arial"/>
          <w:sz w:val="24"/>
          <w:szCs w:val="24"/>
        </w:rPr>
        <w:t>2011-</w:t>
      </w:r>
      <w:r>
        <w:rPr>
          <w:rFonts w:ascii="Arial" w:hAnsi="Arial" w:cs="Arial"/>
          <w:sz w:val="24"/>
          <w:szCs w:val="24"/>
        </w:rPr>
        <w:t>2012 as described in detail in the Annual Workforce Report.</w:t>
      </w:r>
    </w:p>
    <w:p w:rsidR="001C565F" w:rsidRDefault="001C565F" w:rsidP="001C565F">
      <w:pPr>
        <w:spacing w:after="0" w:line="240" w:lineRule="auto"/>
        <w:rPr>
          <w:rFonts w:ascii="Arial" w:eastAsiaTheme="minorEastAsia" w:hAnsi="Arial" w:cs="Arial"/>
          <w:sz w:val="24"/>
          <w:szCs w:val="24"/>
        </w:rPr>
      </w:pPr>
    </w:p>
    <w:p w:rsidR="001C565F" w:rsidRPr="00635BCA" w:rsidRDefault="001C565F" w:rsidP="001C565F">
      <w:pPr>
        <w:spacing w:after="0" w:line="240" w:lineRule="auto"/>
        <w:rPr>
          <w:rFonts w:ascii="Arial" w:eastAsiaTheme="minorEastAsia" w:hAnsi="Arial" w:cs="Arial"/>
          <w:b/>
          <w:sz w:val="24"/>
          <w:szCs w:val="24"/>
        </w:rPr>
      </w:pPr>
      <w:r w:rsidRPr="00635BCA">
        <w:rPr>
          <w:rFonts w:ascii="Arial" w:eastAsiaTheme="minorEastAsia" w:hAnsi="Arial" w:cs="Arial"/>
          <w:b/>
          <w:sz w:val="24"/>
          <w:szCs w:val="24"/>
        </w:rPr>
        <w:t>Gender</w:t>
      </w:r>
    </w:p>
    <w:p w:rsidR="001C565F" w:rsidRPr="00F837A5" w:rsidRDefault="001C565F" w:rsidP="001C565F">
      <w:pPr>
        <w:spacing w:after="0" w:line="240" w:lineRule="auto"/>
        <w:rPr>
          <w:rFonts w:ascii="Arial" w:eastAsiaTheme="minorEastAsia" w:hAnsi="Arial" w:cs="Arial"/>
          <w:sz w:val="24"/>
          <w:szCs w:val="24"/>
        </w:rPr>
      </w:pPr>
    </w:p>
    <w:p w:rsidR="001C565F"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sz w:val="24"/>
          <w:szCs w:val="24"/>
        </w:rPr>
        <w:t xml:space="preserve">The national average for the FE workforce is 63% female and 37% male.  Central College figures for </w:t>
      </w:r>
      <w:r>
        <w:rPr>
          <w:rFonts w:ascii="Arial" w:eastAsiaTheme="minorEastAsia" w:hAnsi="Arial" w:cs="Arial"/>
          <w:sz w:val="24"/>
          <w:szCs w:val="24"/>
        </w:rPr>
        <w:t>20</w:t>
      </w:r>
      <w:r w:rsidRPr="00F837A5">
        <w:rPr>
          <w:rFonts w:ascii="Arial" w:eastAsiaTheme="minorEastAsia" w:hAnsi="Arial" w:cs="Arial"/>
          <w:sz w:val="24"/>
          <w:szCs w:val="24"/>
        </w:rPr>
        <w:t>11</w:t>
      </w:r>
      <w:r>
        <w:rPr>
          <w:rFonts w:ascii="Arial" w:eastAsiaTheme="minorEastAsia" w:hAnsi="Arial" w:cs="Arial"/>
          <w:sz w:val="24"/>
          <w:szCs w:val="24"/>
        </w:rPr>
        <w:t xml:space="preserve"> - 20</w:t>
      </w:r>
      <w:r w:rsidRPr="00F837A5">
        <w:rPr>
          <w:rFonts w:ascii="Arial" w:eastAsiaTheme="minorEastAsia" w:hAnsi="Arial" w:cs="Arial"/>
          <w:sz w:val="24"/>
          <w:szCs w:val="24"/>
        </w:rPr>
        <w:t xml:space="preserve">12 </w:t>
      </w:r>
      <w:r>
        <w:rPr>
          <w:rFonts w:ascii="Arial" w:eastAsiaTheme="minorEastAsia" w:hAnsi="Arial" w:cs="Arial"/>
          <w:sz w:val="24"/>
          <w:szCs w:val="24"/>
        </w:rPr>
        <w:t xml:space="preserve">record </w:t>
      </w:r>
      <w:r w:rsidRPr="00F837A5">
        <w:rPr>
          <w:rFonts w:ascii="Arial" w:eastAsiaTheme="minorEastAsia" w:hAnsi="Arial" w:cs="Arial"/>
          <w:sz w:val="24"/>
          <w:szCs w:val="24"/>
        </w:rPr>
        <w:t xml:space="preserve">61% female </w:t>
      </w:r>
      <w:r>
        <w:rPr>
          <w:rFonts w:ascii="Arial" w:eastAsiaTheme="minorEastAsia" w:hAnsi="Arial" w:cs="Arial"/>
          <w:sz w:val="24"/>
          <w:szCs w:val="24"/>
        </w:rPr>
        <w:t xml:space="preserve">and </w:t>
      </w:r>
      <w:r w:rsidRPr="00F837A5">
        <w:rPr>
          <w:rFonts w:ascii="Arial" w:eastAsiaTheme="minorEastAsia" w:hAnsi="Arial" w:cs="Arial"/>
          <w:sz w:val="24"/>
          <w:szCs w:val="24"/>
        </w:rPr>
        <w:t xml:space="preserve">39% male.  </w:t>
      </w:r>
    </w:p>
    <w:p w:rsidR="001660BE" w:rsidRDefault="001660BE" w:rsidP="001C565F">
      <w:pPr>
        <w:spacing w:after="0" w:line="240" w:lineRule="auto"/>
        <w:rPr>
          <w:rFonts w:ascii="Arial" w:eastAsiaTheme="minorEastAsia" w:hAnsi="Arial" w:cs="Arial"/>
          <w:sz w:val="24"/>
          <w:szCs w:val="24"/>
        </w:rPr>
      </w:pPr>
    </w:p>
    <w:p w:rsidR="001C565F" w:rsidRPr="00F837A5" w:rsidRDefault="001660BE" w:rsidP="001C565F">
      <w:pPr>
        <w:spacing w:after="0" w:line="240" w:lineRule="auto"/>
        <w:rPr>
          <w:rFonts w:ascii="Arial" w:eastAsiaTheme="minorEastAsia" w:hAnsi="Arial" w:cs="Arial"/>
          <w:sz w:val="24"/>
          <w:szCs w:val="24"/>
        </w:rPr>
      </w:pPr>
      <w:r>
        <w:rPr>
          <w:rFonts w:ascii="Arial" w:eastAsiaTheme="minorEastAsia" w:hAnsi="Arial" w:cs="Arial"/>
          <w:sz w:val="24"/>
          <w:szCs w:val="24"/>
        </w:rPr>
        <w:t xml:space="preserve">The larger </w:t>
      </w:r>
      <w:r w:rsidR="00FA1101">
        <w:rPr>
          <w:rFonts w:ascii="Arial" w:eastAsiaTheme="minorEastAsia" w:hAnsi="Arial" w:cs="Arial"/>
          <w:sz w:val="24"/>
          <w:szCs w:val="24"/>
        </w:rPr>
        <w:t xml:space="preserve">proportion </w:t>
      </w:r>
      <w:r>
        <w:rPr>
          <w:rFonts w:ascii="Arial" w:eastAsiaTheme="minorEastAsia" w:hAnsi="Arial" w:cs="Arial"/>
          <w:sz w:val="24"/>
          <w:szCs w:val="24"/>
        </w:rPr>
        <w:t xml:space="preserve">of females is also evident in the learner gender profile for the same period </w:t>
      </w:r>
      <w:r w:rsidR="00FA1101">
        <w:rPr>
          <w:rFonts w:ascii="Arial" w:eastAsiaTheme="minorEastAsia" w:hAnsi="Arial" w:cs="Arial"/>
          <w:sz w:val="24"/>
          <w:szCs w:val="24"/>
        </w:rPr>
        <w:t xml:space="preserve">which is </w:t>
      </w:r>
      <w:r w:rsidR="001C565F" w:rsidRPr="00F837A5">
        <w:rPr>
          <w:rFonts w:ascii="Arial" w:eastAsiaTheme="minorEastAsia" w:hAnsi="Arial" w:cs="Arial"/>
          <w:sz w:val="24"/>
          <w:szCs w:val="24"/>
        </w:rPr>
        <w:t>54%</w:t>
      </w:r>
      <w:r>
        <w:rPr>
          <w:rFonts w:ascii="Arial" w:eastAsiaTheme="minorEastAsia" w:hAnsi="Arial" w:cs="Arial"/>
          <w:sz w:val="24"/>
          <w:szCs w:val="24"/>
        </w:rPr>
        <w:t xml:space="preserve"> </w:t>
      </w:r>
      <w:r w:rsidR="001C565F" w:rsidRPr="00F837A5">
        <w:rPr>
          <w:rFonts w:ascii="Arial" w:eastAsiaTheme="minorEastAsia" w:hAnsi="Arial" w:cs="Arial"/>
          <w:sz w:val="24"/>
          <w:szCs w:val="24"/>
        </w:rPr>
        <w:t>f</w:t>
      </w:r>
      <w:r>
        <w:rPr>
          <w:rFonts w:ascii="Arial" w:eastAsiaTheme="minorEastAsia" w:hAnsi="Arial" w:cs="Arial"/>
          <w:sz w:val="24"/>
          <w:szCs w:val="24"/>
        </w:rPr>
        <w:t xml:space="preserve">emale and </w:t>
      </w:r>
      <w:r w:rsidR="001C565F" w:rsidRPr="00F837A5">
        <w:rPr>
          <w:rFonts w:ascii="Arial" w:eastAsiaTheme="minorEastAsia" w:hAnsi="Arial" w:cs="Arial"/>
          <w:sz w:val="24"/>
          <w:szCs w:val="24"/>
        </w:rPr>
        <w:t xml:space="preserve"> 46%</w:t>
      </w:r>
      <w:r>
        <w:rPr>
          <w:rFonts w:ascii="Arial" w:eastAsiaTheme="minorEastAsia" w:hAnsi="Arial" w:cs="Arial"/>
          <w:sz w:val="24"/>
          <w:szCs w:val="24"/>
        </w:rPr>
        <w:t xml:space="preserve"> </w:t>
      </w:r>
      <w:r w:rsidR="001C565F" w:rsidRPr="00F837A5">
        <w:rPr>
          <w:rFonts w:ascii="Arial" w:eastAsiaTheme="minorEastAsia" w:hAnsi="Arial" w:cs="Arial"/>
          <w:sz w:val="24"/>
          <w:szCs w:val="24"/>
        </w:rPr>
        <w:t>m</w:t>
      </w:r>
      <w:r>
        <w:rPr>
          <w:rFonts w:ascii="Arial" w:eastAsiaTheme="minorEastAsia" w:hAnsi="Arial" w:cs="Arial"/>
          <w:sz w:val="24"/>
          <w:szCs w:val="24"/>
        </w:rPr>
        <w:t>ale (See Section 3</w:t>
      </w:r>
      <w:r w:rsidR="00D937D3">
        <w:rPr>
          <w:rFonts w:ascii="Arial" w:eastAsiaTheme="minorEastAsia" w:hAnsi="Arial" w:cs="Arial"/>
          <w:sz w:val="24"/>
          <w:szCs w:val="24"/>
        </w:rPr>
        <w:t>b Learner Profile</w:t>
      </w:r>
      <w:r>
        <w:rPr>
          <w:rFonts w:ascii="Arial" w:eastAsiaTheme="minorEastAsia" w:hAnsi="Arial" w:cs="Arial"/>
          <w:sz w:val="24"/>
          <w:szCs w:val="24"/>
        </w:rPr>
        <w:t>).</w:t>
      </w:r>
    </w:p>
    <w:p w:rsidR="001C565F" w:rsidRPr="00F837A5" w:rsidRDefault="001C565F" w:rsidP="001C565F">
      <w:pPr>
        <w:spacing w:after="0" w:line="240" w:lineRule="auto"/>
        <w:rPr>
          <w:rFonts w:ascii="Arial" w:eastAsiaTheme="minorEastAsia" w:hAnsi="Arial" w:cs="Arial"/>
          <w:sz w:val="24"/>
          <w:szCs w:val="24"/>
        </w:rPr>
      </w:pPr>
    </w:p>
    <w:p w:rsidR="001C565F" w:rsidRPr="00F837A5"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noProof/>
          <w:sz w:val="24"/>
          <w:szCs w:val="24"/>
          <w:lang w:eastAsia="en-GB"/>
        </w:rPr>
        <w:drawing>
          <wp:inline distT="0" distB="0" distL="0" distR="0" wp14:anchorId="0D480BE2" wp14:editId="1FFC8BEF">
            <wp:extent cx="4619625"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565F" w:rsidRPr="00F837A5" w:rsidRDefault="001C565F" w:rsidP="001C565F">
      <w:pPr>
        <w:spacing w:after="0" w:line="240" w:lineRule="auto"/>
        <w:rPr>
          <w:rFonts w:ascii="Arial" w:eastAsiaTheme="minorEastAsia" w:hAnsi="Arial" w:cs="Arial"/>
          <w:sz w:val="24"/>
          <w:szCs w:val="24"/>
        </w:rPr>
      </w:pPr>
    </w:p>
    <w:p w:rsidR="001660BE" w:rsidRDefault="001660BE" w:rsidP="001C565F">
      <w:pPr>
        <w:spacing w:after="0" w:line="240" w:lineRule="auto"/>
        <w:rPr>
          <w:rFonts w:ascii="Arial" w:eastAsiaTheme="minorEastAsia" w:hAnsi="Arial" w:cs="Arial"/>
          <w:sz w:val="24"/>
          <w:szCs w:val="24"/>
        </w:rPr>
      </w:pPr>
    </w:p>
    <w:p w:rsidR="001660BE" w:rsidRDefault="001660BE" w:rsidP="001C565F">
      <w:pPr>
        <w:spacing w:after="0" w:line="240" w:lineRule="auto"/>
        <w:rPr>
          <w:rFonts w:ascii="Arial" w:eastAsiaTheme="minorEastAsia" w:hAnsi="Arial" w:cs="Arial"/>
          <w:sz w:val="24"/>
          <w:szCs w:val="24"/>
        </w:rPr>
      </w:pPr>
      <w:r>
        <w:rPr>
          <w:rFonts w:ascii="Arial" w:eastAsiaTheme="minorEastAsia" w:hAnsi="Arial" w:cs="Arial"/>
          <w:sz w:val="24"/>
          <w:szCs w:val="24"/>
        </w:rPr>
        <w:t>The table below shows the g</w:t>
      </w:r>
      <w:r w:rsidR="001C565F" w:rsidRPr="00F837A5">
        <w:rPr>
          <w:rFonts w:ascii="Arial" w:eastAsiaTheme="minorEastAsia" w:hAnsi="Arial" w:cs="Arial"/>
          <w:sz w:val="24"/>
          <w:szCs w:val="24"/>
        </w:rPr>
        <w:t>ender profile</w:t>
      </w:r>
      <w:r>
        <w:rPr>
          <w:rFonts w:ascii="Arial" w:eastAsiaTheme="minorEastAsia" w:hAnsi="Arial" w:cs="Arial"/>
          <w:sz w:val="24"/>
          <w:szCs w:val="24"/>
        </w:rPr>
        <w:t xml:space="preserve"> by staff group, and shows that the most significant gender difference lies in the support roles.  67% of support staff </w:t>
      </w:r>
      <w:proofErr w:type="gramStart"/>
      <w:r>
        <w:rPr>
          <w:rFonts w:ascii="Arial" w:eastAsiaTheme="minorEastAsia" w:hAnsi="Arial" w:cs="Arial"/>
          <w:sz w:val="24"/>
          <w:szCs w:val="24"/>
        </w:rPr>
        <w:t>are</w:t>
      </w:r>
      <w:proofErr w:type="gramEnd"/>
      <w:r>
        <w:rPr>
          <w:rFonts w:ascii="Arial" w:eastAsiaTheme="minorEastAsia" w:hAnsi="Arial" w:cs="Arial"/>
          <w:sz w:val="24"/>
          <w:szCs w:val="24"/>
        </w:rPr>
        <w:t xml:space="preserve"> female, which is in line with the </w:t>
      </w:r>
      <w:r w:rsidR="00AF0A87">
        <w:rPr>
          <w:rFonts w:ascii="Arial" w:eastAsiaTheme="minorEastAsia" w:hAnsi="Arial" w:cs="Arial"/>
          <w:sz w:val="24"/>
          <w:szCs w:val="24"/>
        </w:rPr>
        <w:t xml:space="preserve">FE </w:t>
      </w:r>
      <w:r>
        <w:rPr>
          <w:rFonts w:ascii="Arial" w:eastAsiaTheme="minorEastAsia" w:hAnsi="Arial" w:cs="Arial"/>
          <w:sz w:val="24"/>
          <w:szCs w:val="24"/>
        </w:rPr>
        <w:t>sector.</w:t>
      </w:r>
    </w:p>
    <w:p w:rsidR="001C565F" w:rsidRPr="00F837A5"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sz w:val="24"/>
          <w:szCs w:val="24"/>
        </w:rPr>
        <w:t xml:space="preserve"> </w:t>
      </w:r>
    </w:p>
    <w:p w:rsidR="001C565F" w:rsidRPr="00F837A5" w:rsidRDefault="001C565F" w:rsidP="001C565F">
      <w:pPr>
        <w:spacing w:after="0" w:line="240" w:lineRule="auto"/>
        <w:rPr>
          <w:rFonts w:ascii="Arial" w:eastAsiaTheme="minorEastAsia" w:hAnsi="Arial" w:cs="Arial"/>
          <w:sz w:val="24"/>
          <w:szCs w:val="24"/>
        </w:rPr>
      </w:pPr>
    </w:p>
    <w:p w:rsidR="001C565F" w:rsidRPr="00F837A5"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noProof/>
          <w:sz w:val="24"/>
          <w:szCs w:val="24"/>
          <w:lang w:eastAsia="en-GB"/>
        </w:rPr>
        <w:lastRenderedPageBreak/>
        <w:drawing>
          <wp:inline distT="0" distB="0" distL="0" distR="0" wp14:anchorId="2FA7DDD3" wp14:editId="55F5AADD">
            <wp:extent cx="4619625"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565F" w:rsidRPr="00F837A5" w:rsidRDefault="001C565F" w:rsidP="001C565F">
      <w:pPr>
        <w:spacing w:after="0" w:line="240" w:lineRule="auto"/>
        <w:rPr>
          <w:rFonts w:ascii="Arial" w:eastAsiaTheme="minorEastAsia" w:hAnsi="Arial" w:cs="Arial"/>
          <w:sz w:val="24"/>
          <w:szCs w:val="24"/>
        </w:rPr>
      </w:pPr>
    </w:p>
    <w:p w:rsidR="001C565F" w:rsidRPr="00F837A5" w:rsidRDefault="001C565F" w:rsidP="001C565F">
      <w:pPr>
        <w:spacing w:after="0" w:line="240" w:lineRule="auto"/>
        <w:rPr>
          <w:rFonts w:ascii="Arial" w:eastAsiaTheme="minorEastAsia" w:hAnsi="Arial" w:cs="Arial"/>
          <w:sz w:val="24"/>
          <w:szCs w:val="24"/>
        </w:rPr>
      </w:pPr>
    </w:p>
    <w:p w:rsidR="001C565F" w:rsidRPr="00635BCA" w:rsidRDefault="001660BE" w:rsidP="001C565F">
      <w:pPr>
        <w:spacing w:after="0" w:line="240" w:lineRule="auto"/>
        <w:rPr>
          <w:rFonts w:ascii="Arial" w:eastAsiaTheme="minorEastAsia" w:hAnsi="Arial" w:cs="Arial"/>
          <w:b/>
          <w:sz w:val="24"/>
          <w:szCs w:val="24"/>
        </w:rPr>
      </w:pPr>
      <w:r w:rsidRPr="00635BCA">
        <w:rPr>
          <w:rFonts w:ascii="Arial" w:eastAsiaTheme="minorEastAsia" w:hAnsi="Arial" w:cs="Arial"/>
          <w:b/>
          <w:sz w:val="24"/>
          <w:szCs w:val="24"/>
        </w:rPr>
        <w:t>Disability</w:t>
      </w:r>
    </w:p>
    <w:p w:rsidR="001C565F" w:rsidRPr="00F837A5" w:rsidRDefault="001C565F" w:rsidP="001C565F">
      <w:pPr>
        <w:spacing w:after="0" w:line="240" w:lineRule="auto"/>
        <w:rPr>
          <w:rFonts w:ascii="Arial" w:eastAsiaTheme="minorEastAsia" w:hAnsi="Arial" w:cs="Arial"/>
          <w:sz w:val="24"/>
          <w:szCs w:val="24"/>
        </w:rPr>
      </w:pPr>
    </w:p>
    <w:p w:rsidR="000A4A7D" w:rsidRDefault="000A4A7D" w:rsidP="001C565F">
      <w:pPr>
        <w:spacing w:after="0" w:line="240" w:lineRule="auto"/>
        <w:rPr>
          <w:rFonts w:ascii="Arial" w:eastAsiaTheme="minorEastAsia" w:hAnsi="Arial" w:cs="Arial"/>
          <w:sz w:val="24"/>
          <w:szCs w:val="24"/>
        </w:rPr>
      </w:pPr>
      <w:r>
        <w:rPr>
          <w:rFonts w:ascii="Arial" w:eastAsiaTheme="minorEastAsia" w:hAnsi="Arial" w:cs="Arial"/>
          <w:sz w:val="24"/>
          <w:szCs w:val="24"/>
        </w:rPr>
        <w:t>The Equality Act 2010 defines disability as:</w:t>
      </w:r>
    </w:p>
    <w:p w:rsidR="000A4A7D" w:rsidRDefault="002E1844" w:rsidP="002E1844">
      <w:pPr>
        <w:spacing w:after="0" w:line="240" w:lineRule="auto"/>
        <w:ind w:left="720"/>
        <w:rPr>
          <w:rFonts w:ascii="Arial" w:eastAsiaTheme="minorEastAsia" w:hAnsi="Arial" w:cs="Arial"/>
          <w:sz w:val="24"/>
          <w:szCs w:val="24"/>
        </w:rPr>
      </w:pPr>
      <w:proofErr w:type="gramStart"/>
      <w:r>
        <w:rPr>
          <w:rFonts w:ascii="Arial" w:eastAsiaTheme="minorEastAsia" w:hAnsi="Arial" w:cs="Arial"/>
          <w:sz w:val="24"/>
          <w:szCs w:val="24"/>
        </w:rPr>
        <w:t>‘</w:t>
      </w:r>
      <w:r w:rsidRPr="002E1844">
        <w:rPr>
          <w:rFonts w:ascii="Arial" w:eastAsiaTheme="minorEastAsia" w:hAnsi="Arial" w:cs="Arial"/>
          <w:sz w:val="24"/>
          <w:szCs w:val="24"/>
        </w:rPr>
        <w:t>A physical or mental impairment, which has a substantial and long-term adverse effect on a person's ability to carry out normal day-to-day activities.</w:t>
      </w:r>
      <w:r>
        <w:rPr>
          <w:rFonts w:ascii="Arial" w:eastAsiaTheme="minorEastAsia" w:hAnsi="Arial" w:cs="Arial"/>
          <w:sz w:val="24"/>
          <w:szCs w:val="24"/>
        </w:rPr>
        <w:t>’</w:t>
      </w:r>
      <w:proofErr w:type="gramEnd"/>
      <w:r w:rsidRPr="002E1844">
        <w:rPr>
          <w:rFonts w:ascii="Arial" w:eastAsiaTheme="minorEastAsia" w:hAnsi="Arial" w:cs="Arial"/>
          <w:sz w:val="24"/>
          <w:szCs w:val="24"/>
        </w:rPr>
        <w:t xml:space="preserve">  </w:t>
      </w:r>
    </w:p>
    <w:p w:rsidR="000A4A7D" w:rsidRDefault="000A4A7D" w:rsidP="001C565F">
      <w:pPr>
        <w:spacing w:after="0" w:line="240" w:lineRule="auto"/>
        <w:rPr>
          <w:rFonts w:ascii="Arial" w:eastAsiaTheme="minorEastAsia" w:hAnsi="Arial" w:cs="Arial"/>
          <w:sz w:val="24"/>
          <w:szCs w:val="24"/>
        </w:rPr>
      </w:pPr>
    </w:p>
    <w:p w:rsidR="001C565F" w:rsidRPr="00F837A5" w:rsidRDefault="005C7850" w:rsidP="001C565F">
      <w:pPr>
        <w:spacing w:after="0" w:line="240" w:lineRule="auto"/>
        <w:rPr>
          <w:rFonts w:ascii="Arial" w:eastAsiaTheme="minorEastAsia" w:hAnsi="Arial" w:cs="Arial"/>
          <w:sz w:val="24"/>
          <w:szCs w:val="24"/>
        </w:rPr>
      </w:pPr>
      <w:r>
        <w:rPr>
          <w:rFonts w:ascii="Arial" w:eastAsiaTheme="minorEastAsia" w:hAnsi="Arial" w:cs="Arial"/>
          <w:sz w:val="24"/>
          <w:szCs w:val="24"/>
        </w:rPr>
        <w:t xml:space="preserve">The college is </w:t>
      </w:r>
      <w:r w:rsidR="001C565F" w:rsidRPr="00F837A5">
        <w:rPr>
          <w:rFonts w:ascii="Arial" w:eastAsiaTheme="minorEastAsia" w:hAnsi="Arial" w:cs="Arial"/>
          <w:sz w:val="24"/>
          <w:szCs w:val="24"/>
        </w:rPr>
        <w:t xml:space="preserve">positive about the employment of people with a disability and is a ‘two-ticks’ employer. The recruitment and selection statistics, the number of people who declare a disability, and the annual internal review of disability demonstrates strong achievement against the requirements of the </w:t>
      </w:r>
      <w:r>
        <w:rPr>
          <w:rFonts w:ascii="Arial" w:eastAsiaTheme="minorEastAsia" w:hAnsi="Arial" w:cs="Arial"/>
          <w:sz w:val="24"/>
          <w:szCs w:val="24"/>
        </w:rPr>
        <w:t xml:space="preserve">‘two ticks’ </w:t>
      </w:r>
      <w:r w:rsidR="001C565F" w:rsidRPr="00F837A5">
        <w:rPr>
          <w:rFonts w:ascii="Arial" w:eastAsiaTheme="minorEastAsia" w:hAnsi="Arial" w:cs="Arial"/>
          <w:sz w:val="24"/>
          <w:szCs w:val="24"/>
        </w:rPr>
        <w:t>standard.</w:t>
      </w:r>
    </w:p>
    <w:p w:rsidR="001C565F" w:rsidRPr="00F837A5" w:rsidRDefault="001C565F" w:rsidP="001C565F">
      <w:pPr>
        <w:spacing w:after="0" w:line="240" w:lineRule="auto"/>
        <w:rPr>
          <w:rFonts w:ascii="Arial" w:eastAsiaTheme="minorEastAsia" w:hAnsi="Arial" w:cs="Arial"/>
          <w:sz w:val="24"/>
          <w:szCs w:val="24"/>
        </w:rPr>
      </w:pPr>
    </w:p>
    <w:p w:rsidR="001C565F" w:rsidRPr="00F837A5" w:rsidRDefault="001C565F" w:rsidP="001C565F">
      <w:pPr>
        <w:spacing w:after="0" w:line="240" w:lineRule="auto"/>
        <w:rPr>
          <w:rFonts w:ascii="Arial" w:eastAsiaTheme="minorEastAsia" w:hAnsi="Arial" w:cs="Arial"/>
          <w:noProof/>
          <w:sz w:val="24"/>
          <w:szCs w:val="24"/>
          <w:lang w:eastAsia="en-GB"/>
        </w:rPr>
      </w:pPr>
      <w:r w:rsidRPr="00F837A5">
        <w:rPr>
          <w:rFonts w:ascii="Arial" w:eastAsiaTheme="minorEastAsia" w:hAnsi="Arial" w:cs="Arial"/>
          <w:sz w:val="24"/>
          <w:szCs w:val="24"/>
        </w:rPr>
        <w:t xml:space="preserve">Within the sector 88% of the national </w:t>
      </w:r>
      <w:proofErr w:type="gramStart"/>
      <w:r w:rsidRPr="00F837A5">
        <w:rPr>
          <w:rFonts w:ascii="Arial" w:eastAsiaTheme="minorEastAsia" w:hAnsi="Arial" w:cs="Arial"/>
          <w:sz w:val="24"/>
          <w:szCs w:val="24"/>
        </w:rPr>
        <w:t>workforce have</w:t>
      </w:r>
      <w:proofErr w:type="gramEnd"/>
      <w:r w:rsidRPr="00F837A5">
        <w:rPr>
          <w:rFonts w:ascii="Arial" w:eastAsiaTheme="minorEastAsia" w:hAnsi="Arial" w:cs="Arial"/>
          <w:sz w:val="24"/>
          <w:szCs w:val="24"/>
        </w:rPr>
        <w:t xml:space="preserve"> declared N</w:t>
      </w:r>
      <w:r w:rsidR="00AF0A87">
        <w:rPr>
          <w:rFonts w:ascii="Arial" w:eastAsiaTheme="minorEastAsia" w:hAnsi="Arial" w:cs="Arial"/>
          <w:sz w:val="24"/>
          <w:szCs w:val="24"/>
        </w:rPr>
        <w:t>o</w:t>
      </w:r>
      <w:r w:rsidRPr="00F837A5">
        <w:rPr>
          <w:rFonts w:ascii="Arial" w:eastAsiaTheme="minorEastAsia" w:hAnsi="Arial" w:cs="Arial"/>
          <w:sz w:val="24"/>
          <w:szCs w:val="24"/>
        </w:rPr>
        <w:t xml:space="preserve"> disability, 10 % have not declared and 2% declared a disability.  </w:t>
      </w:r>
      <w:r w:rsidR="005C7850">
        <w:rPr>
          <w:rFonts w:ascii="Arial" w:eastAsiaTheme="minorEastAsia" w:hAnsi="Arial" w:cs="Arial"/>
          <w:sz w:val="24"/>
          <w:szCs w:val="24"/>
        </w:rPr>
        <w:t xml:space="preserve">The </w:t>
      </w:r>
      <w:r w:rsidR="00AF0A87">
        <w:rPr>
          <w:rFonts w:ascii="Arial" w:eastAsiaTheme="minorEastAsia" w:hAnsi="Arial" w:cs="Arial"/>
          <w:sz w:val="24"/>
          <w:szCs w:val="24"/>
        </w:rPr>
        <w:t>C</w:t>
      </w:r>
      <w:r w:rsidR="005C7850">
        <w:rPr>
          <w:rFonts w:ascii="Arial" w:eastAsiaTheme="minorEastAsia" w:hAnsi="Arial" w:cs="Arial"/>
          <w:sz w:val="24"/>
          <w:szCs w:val="24"/>
        </w:rPr>
        <w:t xml:space="preserve">ollege data for 2012 shows </w:t>
      </w:r>
      <w:r w:rsidRPr="00F837A5">
        <w:rPr>
          <w:rFonts w:ascii="Arial" w:eastAsiaTheme="minorEastAsia" w:hAnsi="Arial" w:cs="Arial"/>
          <w:sz w:val="24"/>
          <w:szCs w:val="24"/>
        </w:rPr>
        <w:t xml:space="preserve">8% </w:t>
      </w:r>
      <w:r w:rsidR="000A4A7D">
        <w:rPr>
          <w:rFonts w:ascii="Arial" w:eastAsiaTheme="minorEastAsia" w:hAnsi="Arial" w:cs="Arial"/>
          <w:sz w:val="24"/>
          <w:szCs w:val="24"/>
        </w:rPr>
        <w:t xml:space="preserve">of staff </w:t>
      </w:r>
      <w:r w:rsidRPr="00F837A5">
        <w:rPr>
          <w:rFonts w:ascii="Arial" w:eastAsiaTheme="minorEastAsia" w:hAnsi="Arial" w:cs="Arial"/>
          <w:sz w:val="24"/>
          <w:szCs w:val="24"/>
        </w:rPr>
        <w:t>declared</w:t>
      </w:r>
      <w:r w:rsidR="000A4A7D">
        <w:rPr>
          <w:rFonts w:ascii="Arial" w:eastAsiaTheme="minorEastAsia" w:hAnsi="Arial" w:cs="Arial"/>
          <w:sz w:val="24"/>
          <w:szCs w:val="24"/>
        </w:rPr>
        <w:t xml:space="preserve"> a</w:t>
      </w:r>
      <w:r w:rsidRPr="00F837A5">
        <w:rPr>
          <w:rFonts w:ascii="Arial" w:eastAsiaTheme="minorEastAsia" w:hAnsi="Arial" w:cs="Arial"/>
          <w:sz w:val="24"/>
          <w:szCs w:val="24"/>
        </w:rPr>
        <w:t xml:space="preserve"> disability.</w:t>
      </w:r>
      <w:r w:rsidR="000A4A7D">
        <w:rPr>
          <w:rFonts w:ascii="Arial" w:eastAsiaTheme="minorEastAsia" w:hAnsi="Arial" w:cs="Arial"/>
          <w:sz w:val="24"/>
          <w:szCs w:val="24"/>
        </w:rPr>
        <w:t xml:space="preserve"> </w:t>
      </w:r>
      <w:r w:rsidRPr="00F837A5">
        <w:rPr>
          <w:rFonts w:ascii="Arial" w:eastAsiaTheme="minorEastAsia" w:hAnsi="Arial" w:cs="Arial"/>
          <w:noProof/>
          <w:sz w:val="24"/>
          <w:szCs w:val="24"/>
          <w:lang w:eastAsia="en-GB"/>
        </w:rPr>
        <w:t xml:space="preserve"> </w:t>
      </w:r>
    </w:p>
    <w:p w:rsidR="001C565F" w:rsidRPr="00F837A5" w:rsidRDefault="001C565F" w:rsidP="001C565F">
      <w:pPr>
        <w:spacing w:after="0" w:line="240" w:lineRule="auto"/>
        <w:rPr>
          <w:rFonts w:ascii="Arial" w:eastAsiaTheme="minorEastAsia" w:hAnsi="Arial" w:cs="Arial"/>
          <w:noProof/>
          <w:sz w:val="24"/>
          <w:szCs w:val="24"/>
          <w:lang w:eastAsia="en-GB"/>
        </w:rPr>
      </w:pPr>
    </w:p>
    <w:p w:rsidR="001C565F" w:rsidRPr="00F837A5" w:rsidRDefault="001C565F" w:rsidP="001C565F">
      <w:pPr>
        <w:spacing w:after="0" w:line="240" w:lineRule="auto"/>
        <w:rPr>
          <w:rFonts w:ascii="Arial" w:eastAsiaTheme="minorEastAsia" w:hAnsi="Arial" w:cs="Arial"/>
          <w:noProof/>
          <w:sz w:val="24"/>
          <w:szCs w:val="24"/>
          <w:lang w:eastAsia="en-GB"/>
        </w:rPr>
      </w:pPr>
    </w:p>
    <w:p w:rsidR="001C565F" w:rsidRPr="0042604D" w:rsidRDefault="001C565F" w:rsidP="001C565F">
      <w:pPr>
        <w:spacing w:after="0" w:line="240" w:lineRule="auto"/>
        <w:rPr>
          <w:rFonts w:ascii="Arial" w:eastAsiaTheme="minorEastAsia" w:hAnsi="Arial" w:cs="Arial"/>
          <w:b/>
          <w:sz w:val="24"/>
          <w:szCs w:val="24"/>
        </w:rPr>
      </w:pPr>
      <w:r w:rsidRPr="0042604D">
        <w:rPr>
          <w:rFonts w:ascii="Arial" w:eastAsiaTheme="minorEastAsia" w:hAnsi="Arial" w:cs="Arial"/>
          <w:b/>
          <w:sz w:val="24"/>
          <w:szCs w:val="24"/>
        </w:rPr>
        <w:t>Ethnicity</w:t>
      </w:r>
    </w:p>
    <w:p w:rsidR="002E1844" w:rsidRDefault="002E1844" w:rsidP="001C565F">
      <w:pPr>
        <w:spacing w:after="0" w:line="240" w:lineRule="auto"/>
        <w:rPr>
          <w:rFonts w:ascii="Arial" w:eastAsiaTheme="minorEastAsia" w:hAnsi="Arial" w:cs="Arial"/>
          <w:sz w:val="24"/>
          <w:szCs w:val="24"/>
        </w:rPr>
      </w:pPr>
    </w:p>
    <w:p w:rsidR="001C565F" w:rsidRPr="00F837A5"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sz w:val="24"/>
          <w:szCs w:val="24"/>
        </w:rPr>
        <w:t>91.4% of the college</w:t>
      </w:r>
      <w:r w:rsidR="002E1844">
        <w:rPr>
          <w:rFonts w:ascii="Arial" w:eastAsiaTheme="minorEastAsia" w:hAnsi="Arial" w:cs="Arial"/>
          <w:sz w:val="24"/>
          <w:szCs w:val="24"/>
        </w:rPr>
        <w:t xml:space="preserve"> staff</w:t>
      </w:r>
      <w:r w:rsidRPr="00F837A5">
        <w:rPr>
          <w:rFonts w:ascii="Arial" w:eastAsiaTheme="minorEastAsia" w:hAnsi="Arial" w:cs="Arial"/>
          <w:sz w:val="24"/>
          <w:szCs w:val="24"/>
        </w:rPr>
        <w:t xml:space="preserve"> population classify themselves as White British, White</w:t>
      </w:r>
      <w:r w:rsidR="002E1844">
        <w:rPr>
          <w:rFonts w:ascii="Arial" w:eastAsiaTheme="minorEastAsia" w:hAnsi="Arial" w:cs="Arial"/>
          <w:sz w:val="24"/>
          <w:szCs w:val="24"/>
        </w:rPr>
        <w:t xml:space="preserve"> </w:t>
      </w:r>
      <w:r w:rsidRPr="00F837A5">
        <w:rPr>
          <w:rFonts w:ascii="Arial" w:eastAsiaTheme="minorEastAsia" w:hAnsi="Arial" w:cs="Arial"/>
          <w:sz w:val="24"/>
          <w:szCs w:val="24"/>
        </w:rPr>
        <w:t>Irish, White Other European or White Other.</w:t>
      </w:r>
    </w:p>
    <w:p w:rsidR="00CE2384" w:rsidRPr="00CE2384" w:rsidRDefault="00CE2384" w:rsidP="00CE2384">
      <w:pPr>
        <w:spacing w:after="0" w:line="240" w:lineRule="auto"/>
        <w:rPr>
          <w:rFonts w:ascii="Arial" w:eastAsiaTheme="minorEastAsia" w:hAnsi="Arial" w:cs="Arial"/>
          <w:sz w:val="24"/>
          <w:szCs w:val="24"/>
        </w:rPr>
      </w:pPr>
      <w:r>
        <w:rPr>
          <w:rFonts w:ascii="Arial" w:eastAsiaTheme="minorEastAsia" w:hAnsi="Arial" w:cs="Arial"/>
          <w:sz w:val="24"/>
          <w:szCs w:val="24"/>
        </w:rPr>
        <w:t xml:space="preserve">The </w:t>
      </w:r>
      <w:r w:rsidRPr="00CE2384">
        <w:rPr>
          <w:rFonts w:ascii="Arial" w:eastAsiaTheme="minorEastAsia" w:hAnsi="Arial" w:cs="Arial"/>
          <w:sz w:val="24"/>
          <w:szCs w:val="24"/>
        </w:rPr>
        <w:t>2011 Census data</w:t>
      </w:r>
      <w:r>
        <w:rPr>
          <w:rFonts w:ascii="Arial" w:eastAsiaTheme="minorEastAsia" w:hAnsi="Arial" w:cs="Arial"/>
          <w:sz w:val="24"/>
          <w:szCs w:val="24"/>
        </w:rPr>
        <w:t xml:space="preserve">, as reported by the Office for National Statistics (Dec 2012), report </w:t>
      </w:r>
      <w:r w:rsidRPr="00CE2384">
        <w:rPr>
          <w:rFonts w:ascii="Arial" w:eastAsiaTheme="minorEastAsia" w:hAnsi="Arial" w:cs="Arial"/>
          <w:sz w:val="24"/>
          <w:szCs w:val="24"/>
        </w:rPr>
        <w:t>71.5</w:t>
      </w:r>
      <w:r>
        <w:rPr>
          <w:rFonts w:ascii="Arial" w:eastAsiaTheme="minorEastAsia" w:hAnsi="Arial" w:cs="Arial"/>
          <w:sz w:val="24"/>
          <w:szCs w:val="24"/>
        </w:rPr>
        <w:t>% of Nottingham City’s and 95% of the County’s</w:t>
      </w:r>
      <w:r w:rsidR="003F4A75">
        <w:rPr>
          <w:rStyle w:val="FootnoteReference"/>
          <w:rFonts w:ascii="Arial" w:eastAsiaTheme="minorEastAsia" w:hAnsi="Arial" w:cs="Arial"/>
          <w:sz w:val="24"/>
          <w:szCs w:val="24"/>
        </w:rPr>
        <w:footnoteReference w:id="1"/>
      </w:r>
      <w:r>
        <w:rPr>
          <w:rFonts w:ascii="Arial" w:eastAsiaTheme="minorEastAsia" w:hAnsi="Arial" w:cs="Arial"/>
          <w:sz w:val="24"/>
          <w:szCs w:val="24"/>
        </w:rPr>
        <w:t xml:space="preserve"> population classify themselves as White.</w:t>
      </w:r>
    </w:p>
    <w:p w:rsidR="001C565F" w:rsidRPr="00F837A5" w:rsidRDefault="001C565F" w:rsidP="00CE2384">
      <w:pPr>
        <w:spacing w:after="0" w:line="240" w:lineRule="auto"/>
        <w:rPr>
          <w:rFonts w:ascii="Arial" w:eastAsiaTheme="minorEastAsia" w:hAnsi="Arial" w:cs="Arial"/>
          <w:sz w:val="24"/>
          <w:szCs w:val="24"/>
        </w:rPr>
      </w:pPr>
    </w:p>
    <w:p w:rsidR="002E1844"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sz w:val="24"/>
          <w:szCs w:val="24"/>
        </w:rPr>
        <w:t xml:space="preserve">Discounting the classification of ‘other’ or ‘unknown’, the Black and Asian staffing profile is currently 7.76%. </w:t>
      </w:r>
      <w:r w:rsidR="002E1844">
        <w:rPr>
          <w:rFonts w:ascii="Arial" w:eastAsiaTheme="minorEastAsia" w:hAnsi="Arial" w:cs="Arial"/>
          <w:sz w:val="24"/>
          <w:szCs w:val="24"/>
        </w:rPr>
        <w:t xml:space="preserve">  </w:t>
      </w:r>
    </w:p>
    <w:p w:rsidR="001C565F" w:rsidRPr="00F837A5" w:rsidRDefault="001C565F" w:rsidP="001C565F">
      <w:pPr>
        <w:spacing w:after="0" w:line="240" w:lineRule="auto"/>
        <w:rPr>
          <w:rFonts w:ascii="Arial" w:eastAsiaTheme="minorEastAsia" w:hAnsi="Arial" w:cs="Arial"/>
          <w:sz w:val="24"/>
          <w:szCs w:val="24"/>
        </w:rPr>
      </w:pPr>
    </w:p>
    <w:p w:rsidR="001C565F" w:rsidRPr="00F837A5"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sz w:val="24"/>
          <w:szCs w:val="24"/>
        </w:rPr>
        <w:lastRenderedPageBreak/>
        <w:t>As the chart below shows, there are significantly more Black and Asian staff in support roles and significantly fewer in management and teaching posts. Increasing the profile of Black and Asian staff in these groups remains a priority, particularly so in the classroom where these staff are important role models.</w:t>
      </w:r>
    </w:p>
    <w:p w:rsidR="001C565F" w:rsidRPr="00F837A5" w:rsidRDefault="001C565F" w:rsidP="001C565F">
      <w:pPr>
        <w:spacing w:after="0" w:line="240" w:lineRule="auto"/>
        <w:rPr>
          <w:rFonts w:ascii="Arial" w:eastAsiaTheme="minorEastAsia" w:hAnsi="Arial" w:cs="Arial"/>
          <w:sz w:val="24"/>
          <w:szCs w:val="24"/>
        </w:rPr>
      </w:pPr>
    </w:p>
    <w:p w:rsidR="001C565F" w:rsidRPr="00F837A5" w:rsidRDefault="001C565F" w:rsidP="001C565F">
      <w:pPr>
        <w:spacing w:after="0" w:line="240" w:lineRule="auto"/>
        <w:rPr>
          <w:rFonts w:ascii="Arial" w:eastAsiaTheme="minorEastAsia" w:hAnsi="Arial" w:cs="Arial"/>
          <w:sz w:val="24"/>
          <w:szCs w:val="24"/>
        </w:rPr>
      </w:pPr>
      <w:r w:rsidRPr="00F837A5">
        <w:rPr>
          <w:rFonts w:ascii="Arial" w:eastAsiaTheme="minorEastAsia" w:hAnsi="Arial" w:cs="Arial"/>
          <w:noProof/>
          <w:sz w:val="24"/>
          <w:szCs w:val="24"/>
          <w:lang w:eastAsia="en-GB"/>
        </w:rPr>
        <w:drawing>
          <wp:inline distT="0" distB="0" distL="0" distR="0" wp14:anchorId="4E7ACCC1" wp14:editId="580DDEA8">
            <wp:extent cx="5519743" cy="2743200"/>
            <wp:effectExtent l="0" t="0" r="508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565F" w:rsidRPr="00F837A5" w:rsidRDefault="001C565F" w:rsidP="001C565F">
      <w:pPr>
        <w:tabs>
          <w:tab w:val="left" w:pos="1080"/>
        </w:tabs>
        <w:rPr>
          <w:rFonts w:ascii="Arial" w:hAnsi="Arial" w:cs="Arial"/>
          <w:sz w:val="24"/>
          <w:szCs w:val="24"/>
        </w:rPr>
      </w:pPr>
    </w:p>
    <w:p w:rsidR="003F4A75" w:rsidRDefault="003F4A75" w:rsidP="00884F4E">
      <w:pPr>
        <w:spacing w:after="0"/>
        <w:rPr>
          <w:rFonts w:ascii="Arial" w:hAnsi="Arial" w:cs="Arial"/>
          <w:sz w:val="24"/>
          <w:szCs w:val="24"/>
        </w:rPr>
      </w:pPr>
    </w:p>
    <w:p w:rsidR="002E1844" w:rsidRPr="0042604D" w:rsidRDefault="00BF327C" w:rsidP="00884F4E">
      <w:pPr>
        <w:spacing w:after="0"/>
        <w:rPr>
          <w:rFonts w:ascii="Arial" w:hAnsi="Arial" w:cs="Arial"/>
          <w:b/>
          <w:sz w:val="24"/>
          <w:szCs w:val="24"/>
        </w:rPr>
      </w:pPr>
      <w:r w:rsidRPr="0042604D">
        <w:rPr>
          <w:rFonts w:ascii="Arial" w:hAnsi="Arial" w:cs="Arial"/>
          <w:b/>
          <w:sz w:val="24"/>
          <w:szCs w:val="24"/>
        </w:rPr>
        <w:t>3b</w:t>
      </w:r>
      <w:proofErr w:type="gramStart"/>
      <w:r w:rsidRPr="0042604D">
        <w:rPr>
          <w:rFonts w:ascii="Arial" w:hAnsi="Arial" w:cs="Arial"/>
          <w:b/>
          <w:sz w:val="24"/>
          <w:szCs w:val="24"/>
        </w:rPr>
        <w:t xml:space="preserve">.  </w:t>
      </w:r>
      <w:r w:rsidR="002E1844" w:rsidRPr="0042604D">
        <w:rPr>
          <w:rFonts w:ascii="Arial" w:hAnsi="Arial" w:cs="Arial"/>
          <w:b/>
          <w:sz w:val="24"/>
          <w:szCs w:val="24"/>
        </w:rPr>
        <w:t>Learner</w:t>
      </w:r>
      <w:proofErr w:type="gramEnd"/>
      <w:r w:rsidR="002E1844" w:rsidRPr="0042604D">
        <w:rPr>
          <w:rFonts w:ascii="Arial" w:hAnsi="Arial" w:cs="Arial"/>
          <w:b/>
          <w:sz w:val="24"/>
          <w:szCs w:val="24"/>
        </w:rPr>
        <w:t xml:space="preserve"> Profile</w:t>
      </w:r>
    </w:p>
    <w:p w:rsidR="0042604D" w:rsidRDefault="0042604D" w:rsidP="00884F4E">
      <w:pPr>
        <w:spacing w:after="0"/>
        <w:rPr>
          <w:rFonts w:ascii="Arial" w:hAnsi="Arial" w:cs="Arial"/>
          <w:sz w:val="24"/>
          <w:szCs w:val="24"/>
        </w:rPr>
      </w:pPr>
    </w:p>
    <w:p w:rsidR="00A868E9" w:rsidRDefault="00A868E9" w:rsidP="00884F4E">
      <w:pPr>
        <w:spacing w:after="0"/>
        <w:rPr>
          <w:rFonts w:ascii="Arial" w:hAnsi="Arial" w:cs="Arial"/>
          <w:sz w:val="24"/>
          <w:szCs w:val="24"/>
        </w:rPr>
      </w:pPr>
      <w:r>
        <w:rPr>
          <w:rFonts w:ascii="Arial" w:hAnsi="Arial" w:cs="Arial"/>
          <w:sz w:val="24"/>
          <w:szCs w:val="24"/>
        </w:rPr>
        <w:t xml:space="preserve">There have been some significant increases in the numbers of learners across all areas and diversity groups between the academic years of 2010 – 2011 to 2011 – 2012.  The whole college </w:t>
      </w:r>
      <w:r w:rsidR="00AF0A87">
        <w:rPr>
          <w:rFonts w:ascii="Arial" w:hAnsi="Arial" w:cs="Arial"/>
          <w:sz w:val="24"/>
          <w:szCs w:val="24"/>
        </w:rPr>
        <w:t xml:space="preserve">learner </w:t>
      </w:r>
      <w:r>
        <w:rPr>
          <w:rFonts w:ascii="Arial" w:hAnsi="Arial" w:cs="Arial"/>
          <w:sz w:val="24"/>
          <w:szCs w:val="24"/>
        </w:rPr>
        <w:t xml:space="preserve">population has increased from 18183 to 27339 starts across </w:t>
      </w:r>
      <w:r w:rsidR="00AF0A87">
        <w:rPr>
          <w:rFonts w:ascii="Arial" w:hAnsi="Arial" w:cs="Arial"/>
          <w:sz w:val="24"/>
          <w:szCs w:val="24"/>
        </w:rPr>
        <w:t xml:space="preserve">all </w:t>
      </w:r>
      <w:r>
        <w:rPr>
          <w:rFonts w:ascii="Arial" w:hAnsi="Arial" w:cs="Arial"/>
          <w:sz w:val="24"/>
          <w:szCs w:val="24"/>
        </w:rPr>
        <w:t>courses and qualification levels.</w:t>
      </w:r>
    </w:p>
    <w:p w:rsidR="00A868E9" w:rsidRDefault="00A868E9" w:rsidP="00884F4E">
      <w:pPr>
        <w:spacing w:after="0"/>
        <w:rPr>
          <w:rFonts w:ascii="Arial" w:hAnsi="Arial" w:cs="Arial"/>
          <w:sz w:val="24"/>
          <w:szCs w:val="24"/>
        </w:rPr>
      </w:pPr>
      <w:r>
        <w:rPr>
          <w:rFonts w:ascii="Arial" w:hAnsi="Arial" w:cs="Arial"/>
          <w:sz w:val="24"/>
          <w:szCs w:val="24"/>
        </w:rPr>
        <w:t xml:space="preserve">There has also been an increase of 4% in the whole college </w:t>
      </w:r>
      <w:r w:rsidR="00AF0A87">
        <w:rPr>
          <w:rFonts w:ascii="Arial" w:hAnsi="Arial" w:cs="Arial"/>
          <w:sz w:val="24"/>
          <w:szCs w:val="24"/>
        </w:rPr>
        <w:t>Student S</w:t>
      </w:r>
      <w:r>
        <w:rPr>
          <w:rFonts w:ascii="Arial" w:hAnsi="Arial" w:cs="Arial"/>
          <w:sz w:val="24"/>
          <w:szCs w:val="24"/>
        </w:rPr>
        <w:t xml:space="preserve">uccess </w:t>
      </w:r>
      <w:r w:rsidR="00AF0A87">
        <w:rPr>
          <w:rFonts w:ascii="Arial" w:hAnsi="Arial" w:cs="Arial"/>
          <w:sz w:val="24"/>
          <w:szCs w:val="24"/>
        </w:rPr>
        <w:t>R</w:t>
      </w:r>
      <w:r>
        <w:rPr>
          <w:rFonts w:ascii="Arial" w:hAnsi="Arial" w:cs="Arial"/>
          <w:sz w:val="24"/>
          <w:szCs w:val="24"/>
        </w:rPr>
        <w:t xml:space="preserve">ate </w:t>
      </w:r>
      <w:r w:rsidR="00AF0A87">
        <w:rPr>
          <w:rFonts w:ascii="Arial" w:hAnsi="Arial" w:cs="Arial"/>
          <w:sz w:val="24"/>
          <w:szCs w:val="24"/>
        </w:rPr>
        <w:t xml:space="preserve">in the same period </w:t>
      </w:r>
      <w:r>
        <w:rPr>
          <w:rFonts w:ascii="Arial" w:hAnsi="Arial" w:cs="Arial"/>
          <w:sz w:val="24"/>
          <w:szCs w:val="24"/>
        </w:rPr>
        <w:t xml:space="preserve">from 79% to 83%, which is a positive achievement. </w:t>
      </w:r>
    </w:p>
    <w:p w:rsidR="00A868E9" w:rsidRDefault="00A868E9" w:rsidP="00884F4E">
      <w:pPr>
        <w:spacing w:after="0"/>
        <w:rPr>
          <w:rFonts w:ascii="Arial" w:hAnsi="Arial" w:cs="Arial"/>
          <w:sz w:val="24"/>
          <w:szCs w:val="24"/>
        </w:rPr>
      </w:pPr>
    </w:p>
    <w:p w:rsidR="00A868E9" w:rsidRPr="0042604D" w:rsidRDefault="00A868E9" w:rsidP="00A868E9">
      <w:pPr>
        <w:spacing w:after="0" w:line="240" w:lineRule="auto"/>
        <w:rPr>
          <w:rFonts w:ascii="Arial" w:eastAsia="Times New Roman" w:hAnsi="Arial" w:cs="Arial"/>
          <w:b/>
          <w:sz w:val="24"/>
          <w:szCs w:val="24"/>
          <w:lang w:eastAsia="en-GB"/>
        </w:rPr>
      </w:pPr>
      <w:r w:rsidRPr="0042604D">
        <w:rPr>
          <w:rFonts w:ascii="Arial" w:eastAsia="Times New Roman" w:hAnsi="Arial" w:cs="Arial"/>
          <w:b/>
          <w:sz w:val="24"/>
          <w:szCs w:val="24"/>
          <w:lang w:eastAsia="en-GB"/>
        </w:rPr>
        <w:t>Whole College Popu</w:t>
      </w:r>
      <w:r w:rsidR="00B74048">
        <w:rPr>
          <w:rFonts w:ascii="Arial" w:eastAsia="Times New Roman" w:hAnsi="Arial" w:cs="Arial"/>
          <w:b/>
          <w:sz w:val="24"/>
          <w:szCs w:val="24"/>
          <w:lang w:eastAsia="en-GB"/>
        </w:rPr>
        <w:t>l</w:t>
      </w:r>
      <w:r w:rsidRPr="0042604D">
        <w:rPr>
          <w:rFonts w:ascii="Arial" w:eastAsia="Times New Roman" w:hAnsi="Arial" w:cs="Arial"/>
          <w:b/>
          <w:sz w:val="24"/>
          <w:szCs w:val="24"/>
          <w:lang w:eastAsia="en-GB"/>
        </w:rPr>
        <w:t>ation</w:t>
      </w:r>
    </w:p>
    <w:p w:rsidR="00A868E9" w:rsidRDefault="00A868E9" w:rsidP="00A868E9">
      <w:pPr>
        <w:spacing w:after="0" w:line="240" w:lineRule="auto"/>
        <w:rPr>
          <w:rFonts w:ascii="Arial" w:eastAsia="Times New Roman" w:hAnsi="Arial" w:cs="Arial"/>
          <w:sz w:val="24"/>
          <w:szCs w:val="24"/>
          <w:lang w:eastAsia="en-GB"/>
        </w:rPr>
      </w:pPr>
    </w:p>
    <w:tbl>
      <w:tblPr>
        <w:tblStyle w:val="TableGrid"/>
        <w:tblW w:w="8046" w:type="dxa"/>
        <w:tblLook w:val="04A0" w:firstRow="1" w:lastRow="0" w:firstColumn="1" w:lastColumn="0" w:noHBand="0" w:noVBand="1"/>
      </w:tblPr>
      <w:tblGrid>
        <w:gridCol w:w="1554"/>
        <w:gridCol w:w="981"/>
        <w:gridCol w:w="986"/>
        <w:gridCol w:w="766"/>
        <w:gridCol w:w="1054"/>
        <w:gridCol w:w="1053"/>
        <w:gridCol w:w="1652"/>
      </w:tblGrid>
      <w:tr w:rsidR="00A868E9" w:rsidTr="00FB6CB3">
        <w:tc>
          <w:tcPr>
            <w:tcW w:w="1554" w:type="dxa"/>
          </w:tcPr>
          <w:p w:rsidR="00A868E9" w:rsidRDefault="00A868E9" w:rsidP="00FB6CB3">
            <w:pPr>
              <w:jc w:val="center"/>
              <w:rPr>
                <w:rFonts w:ascii="Arial" w:eastAsia="Times New Roman" w:hAnsi="Arial" w:cs="Arial"/>
                <w:b/>
                <w:bCs/>
                <w:color w:val="000000"/>
                <w:sz w:val="24"/>
                <w:szCs w:val="24"/>
                <w:lang w:eastAsia="en-GB"/>
              </w:rPr>
            </w:pPr>
          </w:p>
        </w:tc>
        <w:tc>
          <w:tcPr>
            <w:tcW w:w="1967" w:type="dxa"/>
            <w:gridSpan w:val="2"/>
            <w:vAlign w:val="center"/>
          </w:tcPr>
          <w:p w:rsidR="00A868E9" w:rsidRPr="00F837A5" w:rsidRDefault="00A868E9"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Starts</w:t>
            </w:r>
          </w:p>
        </w:tc>
        <w:tc>
          <w:tcPr>
            <w:tcW w:w="766" w:type="dxa"/>
            <w:vMerge w:val="restart"/>
          </w:tcPr>
          <w:p w:rsidR="00A868E9" w:rsidRDefault="00A868E9" w:rsidP="00FB6CB3">
            <w:pPr>
              <w:jc w:val="center"/>
              <w:rPr>
                <w:rFonts w:ascii="Arial" w:eastAsia="Times New Roman" w:hAnsi="Arial" w:cs="Arial"/>
                <w:sz w:val="24"/>
                <w:szCs w:val="24"/>
                <w:lang w:eastAsia="en-GB"/>
              </w:rPr>
            </w:pPr>
          </w:p>
        </w:tc>
        <w:tc>
          <w:tcPr>
            <w:tcW w:w="2107" w:type="dxa"/>
            <w:gridSpan w:val="2"/>
            <w:vAlign w:val="center"/>
          </w:tcPr>
          <w:p w:rsidR="00A868E9" w:rsidRPr="00F837A5" w:rsidRDefault="00A868E9"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SSRs %</w:t>
            </w:r>
          </w:p>
        </w:tc>
        <w:tc>
          <w:tcPr>
            <w:tcW w:w="1652" w:type="dxa"/>
          </w:tcPr>
          <w:p w:rsidR="00A868E9" w:rsidRDefault="00A868E9"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National Average %</w:t>
            </w:r>
          </w:p>
        </w:tc>
      </w:tr>
      <w:tr w:rsidR="00A868E9" w:rsidTr="00FB6CB3">
        <w:tc>
          <w:tcPr>
            <w:tcW w:w="1554" w:type="dxa"/>
          </w:tcPr>
          <w:p w:rsidR="00A868E9" w:rsidRPr="00F837A5" w:rsidRDefault="00A868E9" w:rsidP="00FB6CB3">
            <w:pPr>
              <w:jc w:val="center"/>
              <w:rPr>
                <w:rFonts w:ascii="Arial" w:eastAsia="Times New Roman" w:hAnsi="Arial" w:cs="Arial"/>
                <w:b/>
                <w:bCs/>
                <w:color w:val="000000"/>
                <w:sz w:val="24"/>
                <w:szCs w:val="24"/>
                <w:lang w:eastAsia="en-GB"/>
              </w:rPr>
            </w:pPr>
          </w:p>
        </w:tc>
        <w:tc>
          <w:tcPr>
            <w:tcW w:w="981" w:type="dxa"/>
            <w:vAlign w:val="center"/>
          </w:tcPr>
          <w:p w:rsidR="00A868E9" w:rsidRPr="00F837A5" w:rsidRDefault="00A868E9"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986" w:type="dxa"/>
            <w:vAlign w:val="center"/>
          </w:tcPr>
          <w:p w:rsidR="00A868E9" w:rsidRPr="00F837A5" w:rsidRDefault="00A868E9"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c>
          <w:tcPr>
            <w:tcW w:w="766" w:type="dxa"/>
            <w:vMerge/>
          </w:tcPr>
          <w:p w:rsidR="00A868E9" w:rsidRDefault="00A868E9" w:rsidP="00FB6CB3">
            <w:pPr>
              <w:jc w:val="center"/>
              <w:rPr>
                <w:rFonts w:ascii="Arial" w:eastAsia="Times New Roman" w:hAnsi="Arial" w:cs="Arial"/>
                <w:sz w:val="24"/>
                <w:szCs w:val="24"/>
                <w:lang w:eastAsia="en-GB"/>
              </w:rPr>
            </w:pPr>
          </w:p>
        </w:tc>
        <w:tc>
          <w:tcPr>
            <w:tcW w:w="1054" w:type="dxa"/>
            <w:vAlign w:val="center"/>
          </w:tcPr>
          <w:p w:rsidR="00A868E9" w:rsidRPr="00F837A5" w:rsidRDefault="00A868E9"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1053" w:type="dxa"/>
            <w:vAlign w:val="center"/>
          </w:tcPr>
          <w:p w:rsidR="00A868E9" w:rsidRPr="00F837A5" w:rsidRDefault="00A868E9"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c>
          <w:tcPr>
            <w:tcW w:w="1652" w:type="dxa"/>
            <w:vAlign w:val="bottom"/>
          </w:tcPr>
          <w:p w:rsidR="00A868E9" w:rsidRPr="00AF6749" w:rsidRDefault="00A868E9" w:rsidP="00FB6CB3">
            <w:pPr>
              <w:jc w:val="center"/>
              <w:rPr>
                <w:rFonts w:ascii="Arial" w:eastAsia="Times New Roman" w:hAnsi="Arial" w:cs="Arial"/>
                <w:sz w:val="20"/>
                <w:szCs w:val="20"/>
                <w:lang w:eastAsia="en-GB"/>
              </w:rPr>
            </w:pPr>
            <w:r>
              <w:rPr>
                <w:rFonts w:ascii="Arial" w:eastAsia="Times New Roman" w:hAnsi="Arial" w:cs="Arial"/>
                <w:sz w:val="20"/>
                <w:szCs w:val="20"/>
                <w:lang w:eastAsia="en-GB"/>
              </w:rPr>
              <w:t>10/11</w:t>
            </w:r>
          </w:p>
        </w:tc>
      </w:tr>
      <w:tr w:rsidR="00A868E9" w:rsidRPr="00F45FF6" w:rsidTr="00FB6CB3">
        <w:tc>
          <w:tcPr>
            <w:tcW w:w="1554" w:type="dxa"/>
            <w:vAlign w:val="bottom"/>
          </w:tcPr>
          <w:p w:rsidR="00A868E9" w:rsidRPr="00AF6749" w:rsidRDefault="00A868E9" w:rsidP="00FB6CB3">
            <w:pPr>
              <w:rPr>
                <w:rFonts w:ascii="Arial" w:eastAsia="Times New Roman" w:hAnsi="Arial" w:cs="Arial"/>
                <w:sz w:val="24"/>
                <w:szCs w:val="24"/>
                <w:lang w:eastAsia="en-GB"/>
              </w:rPr>
            </w:pPr>
            <w:r w:rsidRPr="00F45FF6">
              <w:rPr>
                <w:rFonts w:ascii="Arial" w:eastAsia="Times New Roman" w:hAnsi="Arial" w:cs="Arial"/>
                <w:sz w:val="24"/>
                <w:szCs w:val="24"/>
                <w:lang w:eastAsia="en-GB"/>
              </w:rPr>
              <w:t xml:space="preserve">All </w:t>
            </w:r>
            <w:proofErr w:type="spellStart"/>
            <w:r w:rsidRPr="00F45FF6">
              <w:rPr>
                <w:rFonts w:ascii="Arial" w:eastAsia="Times New Roman" w:hAnsi="Arial" w:cs="Arial"/>
                <w:sz w:val="24"/>
                <w:szCs w:val="24"/>
                <w:lang w:eastAsia="en-GB"/>
              </w:rPr>
              <w:t>Quals</w:t>
            </w:r>
            <w:proofErr w:type="spellEnd"/>
          </w:p>
        </w:tc>
        <w:tc>
          <w:tcPr>
            <w:tcW w:w="981" w:type="dxa"/>
            <w:vAlign w:val="bottom"/>
          </w:tcPr>
          <w:p w:rsidR="00A868E9" w:rsidRPr="00AF6749" w:rsidRDefault="00A868E9" w:rsidP="00FB6CB3">
            <w:pPr>
              <w:jc w:val="right"/>
              <w:rPr>
                <w:rFonts w:ascii="Arial" w:eastAsia="Times New Roman" w:hAnsi="Arial" w:cs="Arial"/>
                <w:sz w:val="24"/>
                <w:szCs w:val="24"/>
                <w:lang w:eastAsia="en-GB"/>
              </w:rPr>
            </w:pPr>
            <w:r w:rsidRPr="00F45FF6">
              <w:rPr>
                <w:rFonts w:ascii="Arial" w:eastAsia="Times New Roman" w:hAnsi="Arial" w:cs="Arial"/>
                <w:sz w:val="24"/>
                <w:szCs w:val="24"/>
                <w:lang w:eastAsia="en-GB"/>
              </w:rPr>
              <w:t>18183</w:t>
            </w:r>
          </w:p>
        </w:tc>
        <w:tc>
          <w:tcPr>
            <w:tcW w:w="986" w:type="dxa"/>
            <w:vAlign w:val="bottom"/>
          </w:tcPr>
          <w:p w:rsidR="00A868E9" w:rsidRPr="00AF6749" w:rsidRDefault="00A868E9" w:rsidP="00FB6CB3">
            <w:pPr>
              <w:jc w:val="right"/>
              <w:rPr>
                <w:rFonts w:ascii="Arial" w:eastAsia="Times New Roman" w:hAnsi="Arial" w:cs="Arial"/>
                <w:sz w:val="24"/>
                <w:szCs w:val="24"/>
                <w:lang w:eastAsia="en-GB"/>
              </w:rPr>
            </w:pPr>
            <w:r w:rsidRPr="00F45FF6">
              <w:rPr>
                <w:rFonts w:ascii="Arial" w:eastAsia="Times New Roman" w:hAnsi="Arial" w:cs="Arial"/>
                <w:sz w:val="24"/>
                <w:szCs w:val="24"/>
                <w:lang w:eastAsia="en-GB"/>
              </w:rPr>
              <w:t>27339</w:t>
            </w:r>
          </w:p>
        </w:tc>
        <w:tc>
          <w:tcPr>
            <w:tcW w:w="766" w:type="dxa"/>
            <w:vMerge/>
          </w:tcPr>
          <w:p w:rsidR="00A868E9" w:rsidRPr="00F45FF6" w:rsidRDefault="00A868E9" w:rsidP="00FB6CB3">
            <w:pPr>
              <w:jc w:val="center"/>
              <w:rPr>
                <w:rFonts w:ascii="Arial" w:eastAsia="Times New Roman" w:hAnsi="Arial" w:cs="Arial"/>
                <w:sz w:val="24"/>
                <w:szCs w:val="24"/>
                <w:lang w:eastAsia="en-GB"/>
              </w:rPr>
            </w:pPr>
          </w:p>
        </w:tc>
        <w:tc>
          <w:tcPr>
            <w:tcW w:w="1054" w:type="dxa"/>
            <w:vAlign w:val="bottom"/>
          </w:tcPr>
          <w:p w:rsidR="00A868E9" w:rsidRPr="00F45FF6" w:rsidRDefault="00A868E9" w:rsidP="00FB6CB3">
            <w:pPr>
              <w:jc w:val="center"/>
              <w:rPr>
                <w:rFonts w:ascii="Arial" w:eastAsia="Times New Roman" w:hAnsi="Arial" w:cs="Arial"/>
                <w:sz w:val="24"/>
                <w:szCs w:val="24"/>
                <w:lang w:eastAsia="en-GB"/>
              </w:rPr>
            </w:pPr>
            <w:r w:rsidRPr="00F45FF6">
              <w:rPr>
                <w:rFonts w:ascii="Arial" w:eastAsia="Times New Roman" w:hAnsi="Arial" w:cs="Arial"/>
                <w:sz w:val="24"/>
                <w:szCs w:val="24"/>
                <w:lang w:eastAsia="en-GB"/>
              </w:rPr>
              <w:t>79</w:t>
            </w:r>
          </w:p>
        </w:tc>
        <w:tc>
          <w:tcPr>
            <w:tcW w:w="1053" w:type="dxa"/>
            <w:vAlign w:val="bottom"/>
          </w:tcPr>
          <w:p w:rsidR="00A868E9" w:rsidRPr="00F45FF6" w:rsidRDefault="00A868E9" w:rsidP="00FB6CB3">
            <w:pPr>
              <w:jc w:val="center"/>
              <w:rPr>
                <w:rFonts w:ascii="Arial" w:eastAsia="Times New Roman" w:hAnsi="Arial" w:cs="Arial"/>
                <w:sz w:val="24"/>
                <w:szCs w:val="24"/>
                <w:lang w:eastAsia="en-GB"/>
              </w:rPr>
            </w:pPr>
            <w:r w:rsidRPr="00F45FF6">
              <w:rPr>
                <w:rFonts w:ascii="Arial" w:eastAsia="Times New Roman" w:hAnsi="Arial" w:cs="Arial"/>
                <w:sz w:val="24"/>
                <w:szCs w:val="24"/>
                <w:lang w:eastAsia="en-GB"/>
              </w:rPr>
              <w:t>83</w:t>
            </w:r>
          </w:p>
        </w:tc>
        <w:tc>
          <w:tcPr>
            <w:tcW w:w="1652" w:type="dxa"/>
            <w:vAlign w:val="bottom"/>
          </w:tcPr>
          <w:p w:rsidR="00A868E9" w:rsidRPr="00F45FF6" w:rsidRDefault="00A868E9" w:rsidP="00FB6CB3">
            <w:pPr>
              <w:jc w:val="center"/>
              <w:rPr>
                <w:rFonts w:ascii="Arial" w:eastAsia="Times New Roman" w:hAnsi="Arial" w:cs="Arial"/>
                <w:sz w:val="24"/>
                <w:szCs w:val="24"/>
                <w:lang w:eastAsia="en-GB"/>
              </w:rPr>
            </w:pPr>
            <w:r w:rsidRPr="00F45FF6">
              <w:rPr>
                <w:rFonts w:ascii="Arial" w:eastAsia="Times New Roman" w:hAnsi="Arial" w:cs="Arial"/>
                <w:sz w:val="24"/>
                <w:szCs w:val="24"/>
                <w:lang w:eastAsia="en-GB"/>
              </w:rPr>
              <w:t>84</w:t>
            </w:r>
          </w:p>
        </w:tc>
      </w:tr>
    </w:tbl>
    <w:p w:rsidR="00A868E9" w:rsidRDefault="00A868E9" w:rsidP="00A868E9">
      <w:pPr>
        <w:spacing w:after="0" w:line="240" w:lineRule="auto"/>
        <w:rPr>
          <w:rFonts w:ascii="Arial" w:eastAsia="Times New Roman" w:hAnsi="Arial" w:cs="Arial"/>
          <w:sz w:val="24"/>
          <w:szCs w:val="24"/>
          <w:lang w:eastAsia="en-GB"/>
        </w:rPr>
      </w:pPr>
    </w:p>
    <w:p w:rsidR="003F4A75" w:rsidRDefault="003F4A75" w:rsidP="00884F4E">
      <w:pPr>
        <w:spacing w:after="0"/>
        <w:rPr>
          <w:rFonts w:ascii="Arial" w:hAnsi="Arial" w:cs="Arial"/>
          <w:sz w:val="24"/>
          <w:szCs w:val="24"/>
        </w:rPr>
      </w:pPr>
    </w:p>
    <w:p w:rsidR="001C565F" w:rsidRDefault="00A868E9" w:rsidP="00884F4E">
      <w:pPr>
        <w:spacing w:after="0"/>
        <w:rPr>
          <w:rFonts w:ascii="Arial" w:hAnsi="Arial" w:cs="Arial"/>
          <w:b/>
          <w:sz w:val="24"/>
          <w:szCs w:val="24"/>
        </w:rPr>
      </w:pPr>
      <w:r w:rsidRPr="0042604D">
        <w:rPr>
          <w:rFonts w:ascii="Arial" w:hAnsi="Arial" w:cs="Arial"/>
          <w:b/>
          <w:sz w:val="24"/>
          <w:szCs w:val="24"/>
        </w:rPr>
        <w:t>Gender</w:t>
      </w:r>
    </w:p>
    <w:p w:rsidR="00B74048" w:rsidRDefault="00B74048" w:rsidP="00884F4E">
      <w:pPr>
        <w:spacing w:after="0"/>
        <w:rPr>
          <w:rFonts w:ascii="Arial" w:hAnsi="Arial" w:cs="Arial"/>
          <w:b/>
          <w:sz w:val="24"/>
          <w:szCs w:val="24"/>
        </w:rPr>
      </w:pPr>
    </w:p>
    <w:p w:rsidR="00A868E9" w:rsidRPr="00F837A5" w:rsidRDefault="00A868E9" w:rsidP="00AF0A87">
      <w:pPr>
        <w:rPr>
          <w:rFonts w:ascii="Arial" w:hAnsi="Arial" w:cs="Arial"/>
          <w:sz w:val="24"/>
          <w:szCs w:val="24"/>
        </w:rPr>
      </w:pPr>
      <w:r>
        <w:rPr>
          <w:rFonts w:ascii="Arial" w:hAnsi="Arial" w:cs="Arial"/>
          <w:sz w:val="24"/>
          <w:szCs w:val="24"/>
        </w:rPr>
        <w:t xml:space="preserve">The gender profile of learners in college has not changed, even </w:t>
      </w:r>
      <w:r w:rsidR="00AF0A87">
        <w:rPr>
          <w:rFonts w:ascii="Arial" w:hAnsi="Arial" w:cs="Arial"/>
          <w:sz w:val="24"/>
          <w:szCs w:val="24"/>
        </w:rPr>
        <w:t xml:space="preserve">given </w:t>
      </w:r>
      <w:r>
        <w:rPr>
          <w:rFonts w:ascii="Arial" w:hAnsi="Arial" w:cs="Arial"/>
          <w:sz w:val="24"/>
          <w:szCs w:val="24"/>
        </w:rPr>
        <w:t>the considerable increase in numbers.  The gender split remains static at 54% female to 46% male.</w:t>
      </w:r>
    </w:p>
    <w:p w:rsidR="00A868E9" w:rsidRDefault="0034774E" w:rsidP="00A868E9">
      <w:pPr>
        <w:spacing w:after="0"/>
        <w:rPr>
          <w:rFonts w:ascii="Arial" w:hAnsi="Arial" w:cs="Arial"/>
          <w:sz w:val="24"/>
          <w:szCs w:val="24"/>
        </w:rPr>
      </w:pPr>
      <w:r>
        <w:rPr>
          <w:rFonts w:ascii="Arial" w:hAnsi="Arial" w:cs="Arial"/>
          <w:sz w:val="24"/>
          <w:szCs w:val="24"/>
        </w:rPr>
        <w:lastRenderedPageBreak/>
        <w:t>Success rates for both female and male learners, has also increased by 5% for females and 2% for males.</w:t>
      </w:r>
    </w:p>
    <w:p w:rsidR="0034774E" w:rsidRDefault="0034774E" w:rsidP="0034774E">
      <w:pPr>
        <w:spacing w:after="0" w:line="240" w:lineRule="auto"/>
        <w:rPr>
          <w:rFonts w:ascii="Arial" w:eastAsia="Times New Roman" w:hAnsi="Arial" w:cs="Arial"/>
          <w:sz w:val="24"/>
          <w:szCs w:val="24"/>
          <w:lang w:eastAsia="en-GB"/>
        </w:rPr>
      </w:pPr>
    </w:p>
    <w:tbl>
      <w:tblPr>
        <w:tblStyle w:val="TableGrid"/>
        <w:tblW w:w="8046" w:type="dxa"/>
        <w:tblLook w:val="04A0" w:firstRow="1" w:lastRow="0" w:firstColumn="1" w:lastColumn="0" w:noHBand="0" w:noVBand="1"/>
      </w:tblPr>
      <w:tblGrid>
        <w:gridCol w:w="1554"/>
        <w:gridCol w:w="981"/>
        <w:gridCol w:w="986"/>
        <w:gridCol w:w="766"/>
        <w:gridCol w:w="1054"/>
        <w:gridCol w:w="1053"/>
        <w:gridCol w:w="1652"/>
      </w:tblGrid>
      <w:tr w:rsidR="0034774E" w:rsidTr="00FB6CB3">
        <w:tc>
          <w:tcPr>
            <w:tcW w:w="1554" w:type="dxa"/>
          </w:tcPr>
          <w:p w:rsidR="0034774E" w:rsidRDefault="0034774E" w:rsidP="00FB6CB3">
            <w:pPr>
              <w:jc w:val="center"/>
              <w:rPr>
                <w:rFonts w:ascii="Arial" w:eastAsia="Times New Roman" w:hAnsi="Arial" w:cs="Arial"/>
                <w:b/>
                <w:bCs/>
                <w:color w:val="000000"/>
                <w:sz w:val="24"/>
                <w:szCs w:val="24"/>
                <w:lang w:eastAsia="en-GB"/>
              </w:rPr>
            </w:pPr>
          </w:p>
        </w:tc>
        <w:tc>
          <w:tcPr>
            <w:tcW w:w="1967" w:type="dxa"/>
            <w:gridSpan w:val="2"/>
            <w:vAlign w:val="center"/>
          </w:tcPr>
          <w:p w:rsidR="0034774E" w:rsidRPr="00F837A5" w:rsidRDefault="0034774E"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Starts</w:t>
            </w:r>
          </w:p>
        </w:tc>
        <w:tc>
          <w:tcPr>
            <w:tcW w:w="766" w:type="dxa"/>
            <w:vMerge w:val="restart"/>
          </w:tcPr>
          <w:p w:rsidR="0034774E" w:rsidRDefault="0034774E" w:rsidP="00FB6CB3">
            <w:pPr>
              <w:jc w:val="center"/>
              <w:rPr>
                <w:rFonts w:ascii="Arial" w:eastAsia="Times New Roman" w:hAnsi="Arial" w:cs="Arial"/>
                <w:sz w:val="24"/>
                <w:szCs w:val="24"/>
                <w:lang w:eastAsia="en-GB"/>
              </w:rPr>
            </w:pPr>
          </w:p>
        </w:tc>
        <w:tc>
          <w:tcPr>
            <w:tcW w:w="2107" w:type="dxa"/>
            <w:gridSpan w:val="2"/>
            <w:vAlign w:val="center"/>
          </w:tcPr>
          <w:p w:rsidR="0034774E" w:rsidRPr="00F837A5" w:rsidRDefault="0034774E"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SSRs %</w:t>
            </w:r>
          </w:p>
        </w:tc>
        <w:tc>
          <w:tcPr>
            <w:tcW w:w="1652" w:type="dxa"/>
          </w:tcPr>
          <w:p w:rsidR="0034774E" w:rsidRDefault="0034774E"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National Average %</w:t>
            </w:r>
          </w:p>
        </w:tc>
      </w:tr>
      <w:tr w:rsidR="0034774E" w:rsidTr="00FB6CB3">
        <w:tc>
          <w:tcPr>
            <w:tcW w:w="1554" w:type="dxa"/>
          </w:tcPr>
          <w:p w:rsidR="0034774E" w:rsidRPr="00F837A5" w:rsidRDefault="0034774E" w:rsidP="00FB6CB3">
            <w:pPr>
              <w:jc w:val="center"/>
              <w:rPr>
                <w:rFonts w:ascii="Arial" w:eastAsia="Times New Roman" w:hAnsi="Arial" w:cs="Arial"/>
                <w:b/>
                <w:bCs/>
                <w:color w:val="000000"/>
                <w:sz w:val="24"/>
                <w:szCs w:val="24"/>
                <w:lang w:eastAsia="en-GB"/>
              </w:rPr>
            </w:pPr>
          </w:p>
        </w:tc>
        <w:tc>
          <w:tcPr>
            <w:tcW w:w="981" w:type="dxa"/>
            <w:vAlign w:val="center"/>
          </w:tcPr>
          <w:p w:rsidR="0034774E" w:rsidRPr="00F837A5" w:rsidRDefault="0034774E"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986" w:type="dxa"/>
            <w:vAlign w:val="center"/>
          </w:tcPr>
          <w:p w:rsidR="0034774E" w:rsidRPr="00F837A5" w:rsidRDefault="0034774E"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c>
          <w:tcPr>
            <w:tcW w:w="766" w:type="dxa"/>
            <w:vMerge/>
          </w:tcPr>
          <w:p w:rsidR="0034774E" w:rsidRDefault="0034774E" w:rsidP="00FB6CB3">
            <w:pPr>
              <w:jc w:val="center"/>
              <w:rPr>
                <w:rFonts w:ascii="Arial" w:eastAsia="Times New Roman" w:hAnsi="Arial" w:cs="Arial"/>
                <w:sz w:val="24"/>
                <w:szCs w:val="24"/>
                <w:lang w:eastAsia="en-GB"/>
              </w:rPr>
            </w:pPr>
          </w:p>
        </w:tc>
        <w:tc>
          <w:tcPr>
            <w:tcW w:w="1054" w:type="dxa"/>
            <w:vAlign w:val="center"/>
          </w:tcPr>
          <w:p w:rsidR="0034774E" w:rsidRPr="00F837A5" w:rsidRDefault="0034774E"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1053" w:type="dxa"/>
            <w:vAlign w:val="center"/>
          </w:tcPr>
          <w:p w:rsidR="0034774E" w:rsidRPr="00F837A5" w:rsidRDefault="0034774E"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c>
          <w:tcPr>
            <w:tcW w:w="1652" w:type="dxa"/>
            <w:vAlign w:val="bottom"/>
          </w:tcPr>
          <w:p w:rsidR="0034774E" w:rsidRPr="00AF6749" w:rsidRDefault="0034774E" w:rsidP="00FB6CB3">
            <w:pPr>
              <w:jc w:val="center"/>
              <w:rPr>
                <w:rFonts w:ascii="Arial" w:eastAsia="Times New Roman" w:hAnsi="Arial" w:cs="Arial"/>
                <w:sz w:val="20"/>
                <w:szCs w:val="20"/>
                <w:lang w:eastAsia="en-GB"/>
              </w:rPr>
            </w:pPr>
            <w:r>
              <w:rPr>
                <w:rFonts w:ascii="Arial" w:eastAsia="Times New Roman" w:hAnsi="Arial" w:cs="Arial"/>
                <w:sz w:val="20"/>
                <w:szCs w:val="20"/>
                <w:lang w:eastAsia="en-GB"/>
              </w:rPr>
              <w:t>10/11</w:t>
            </w:r>
          </w:p>
        </w:tc>
      </w:tr>
      <w:tr w:rsidR="0034774E" w:rsidRPr="00F45FF6" w:rsidTr="00FB6CB3">
        <w:tc>
          <w:tcPr>
            <w:tcW w:w="1554" w:type="dxa"/>
            <w:vAlign w:val="bottom"/>
          </w:tcPr>
          <w:p w:rsidR="0034774E" w:rsidRPr="00AF6749" w:rsidRDefault="0034774E" w:rsidP="00FB6CB3">
            <w:pPr>
              <w:rPr>
                <w:rFonts w:ascii="Arial" w:eastAsia="Times New Roman" w:hAnsi="Arial" w:cs="Arial"/>
                <w:sz w:val="24"/>
                <w:szCs w:val="24"/>
                <w:lang w:eastAsia="en-GB"/>
              </w:rPr>
            </w:pPr>
            <w:r>
              <w:rPr>
                <w:rFonts w:ascii="Arial" w:eastAsia="Times New Roman" w:hAnsi="Arial" w:cs="Arial"/>
                <w:sz w:val="24"/>
                <w:szCs w:val="24"/>
                <w:lang w:eastAsia="en-GB"/>
              </w:rPr>
              <w:t>Female</w:t>
            </w:r>
          </w:p>
        </w:tc>
        <w:tc>
          <w:tcPr>
            <w:tcW w:w="981" w:type="dxa"/>
            <w:vAlign w:val="bottom"/>
          </w:tcPr>
          <w:p w:rsidR="0034774E" w:rsidRPr="00694568" w:rsidRDefault="0034774E" w:rsidP="00FB6CB3">
            <w:pPr>
              <w:jc w:val="right"/>
              <w:rPr>
                <w:rFonts w:ascii="Arial" w:eastAsia="Times New Roman" w:hAnsi="Arial" w:cs="Arial"/>
                <w:sz w:val="20"/>
                <w:szCs w:val="20"/>
                <w:lang w:eastAsia="en-GB"/>
              </w:rPr>
            </w:pPr>
            <w:r w:rsidRPr="00694568">
              <w:rPr>
                <w:rFonts w:ascii="Arial" w:eastAsia="Times New Roman" w:hAnsi="Arial" w:cs="Arial"/>
                <w:sz w:val="20"/>
                <w:szCs w:val="20"/>
                <w:lang w:eastAsia="en-GB"/>
              </w:rPr>
              <w:t>9846</w:t>
            </w:r>
          </w:p>
        </w:tc>
        <w:tc>
          <w:tcPr>
            <w:tcW w:w="986" w:type="dxa"/>
            <w:vAlign w:val="bottom"/>
          </w:tcPr>
          <w:p w:rsidR="0034774E" w:rsidRPr="00694568" w:rsidRDefault="0034774E" w:rsidP="00FB6CB3">
            <w:pPr>
              <w:jc w:val="right"/>
              <w:rPr>
                <w:rFonts w:ascii="Arial" w:eastAsia="Times New Roman" w:hAnsi="Arial" w:cs="Arial"/>
                <w:sz w:val="20"/>
                <w:szCs w:val="20"/>
                <w:lang w:eastAsia="en-GB"/>
              </w:rPr>
            </w:pPr>
            <w:r w:rsidRPr="00694568">
              <w:rPr>
                <w:rFonts w:ascii="Arial" w:eastAsia="Times New Roman" w:hAnsi="Arial" w:cs="Arial"/>
                <w:sz w:val="20"/>
                <w:szCs w:val="20"/>
                <w:lang w:eastAsia="en-GB"/>
              </w:rPr>
              <w:t>14,669</w:t>
            </w:r>
          </w:p>
        </w:tc>
        <w:tc>
          <w:tcPr>
            <w:tcW w:w="766" w:type="dxa"/>
            <w:vMerge/>
          </w:tcPr>
          <w:p w:rsidR="0034774E" w:rsidRPr="00F45FF6" w:rsidRDefault="0034774E" w:rsidP="00FB6CB3">
            <w:pPr>
              <w:jc w:val="center"/>
              <w:rPr>
                <w:rFonts w:ascii="Arial" w:eastAsia="Times New Roman" w:hAnsi="Arial" w:cs="Arial"/>
                <w:sz w:val="24"/>
                <w:szCs w:val="24"/>
                <w:lang w:eastAsia="en-GB"/>
              </w:rPr>
            </w:pPr>
          </w:p>
        </w:tc>
        <w:tc>
          <w:tcPr>
            <w:tcW w:w="1054" w:type="dxa"/>
            <w:vAlign w:val="bottom"/>
          </w:tcPr>
          <w:p w:rsidR="0034774E" w:rsidRPr="00F45FF6" w:rsidRDefault="0034774E"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80</w:t>
            </w:r>
          </w:p>
        </w:tc>
        <w:tc>
          <w:tcPr>
            <w:tcW w:w="1053" w:type="dxa"/>
            <w:vAlign w:val="bottom"/>
          </w:tcPr>
          <w:p w:rsidR="0034774E" w:rsidRPr="00F45FF6" w:rsidRDefault="0034774E"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85</w:t>
            </w:r>
          </w:p>
        </w:tc>
        <w:tc>
          <w:tcPr>
            <w:tcW w:w="1652" w:type="dxa"/>
            <w:vAlign w:val="bottom"/>
          </w:tcPr>
          <w:p w:rsidR="0034774E" w:rsidRPr="00F45FF6" w:rsidRDefault="0034774E"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82</w:t>
            </w:r>
          </w:p>
        </w:tc>
      </w:tr>
      <w:tr w:rsidR="0034774E" w:rsidRPr="00F45FF6" w:rsidTr="00FB6CB3">
        <w:tc>
          <w:tcPr>
            <w:tcW w:w="1554" w:type="dxa"/>
            <w:vAlign w:val="bottom"/>
          </w:tcPr>
          <w:p w:rsidR="0034774E" w:rsidRPr="00F45FF6" w:rsidRDefault="0034774E" w:rsidP="00FB6CB3">
            <w:pPr>
              <w:rPr>
                <w:rFonts w:ascii="Arial" w:eastAsia="Times New Roman" w:hAnsi="Arial" w:cs="Arial"/>
                <w:sz w:val="24"/>
                <w:szCs w:val="24"/>
                <w:lang w:eastAsia="en-GB"/>
              </w:rPr>
            </w:pPr>
            <w:r>
              <w:rPr>
                <w:rFonts w:ascii="Arial" w:eastAsia="Times New Roman" w:hAnsi="Arial" w:cs="Arial"/>
                <w:sz w:val="24"/>
                <w:szCs w:val="24"/>
                <w:lang w:eastAsia="en-GB"/>
              </w:rPr>
              <w:t>Male</w:t>
            </w:r>
          </w:p>
        </w:tc>
        <w:tc>
          <w:tcPr>
            <w:tcW w:w="981" w:type="dxa"/>
            <w:vAlign w:val="bottom"/>
          </w:tcPr>
          <w:p w:rsidR="0034774E" w:rsidRPr="00694568" w:rsidRDefault="0034774E" w:rsidP="00FB6CB3">
            <w:pPr>
              <w:jc w:val="right"/>
              <w:rPr>
                <w:rFonts w:ascii="Arial" w:eastAsia="Times New Roman" w:hAnsi="Arial" w:cs="Arial"/>
                <w:sz w:val="20"/>
                <w:szCs w:val="20"/>
                <w:lang w:eastAsia="en-GB"/>
              </w:rPr>
            </w:pPr>
            <w:r w:rsidRPr="00694568">
              <w:rPr>
                <w:rFonts w:ascii="Arial" w:eastAsia="Times New Roman" w:hAnsi="Arial" w:cs="Arial"/>
                <w:sz w:val="20"/>
                <w:szCs w:val="20"/>
                <w:lang w:eastAsia="en-GB"/>
              </w:rPr>
              <w:t>8337</w:t>
            </w:r>
          </w:p>
        </w:tc>
        <w:tc>
          <w:tcPr>
            <w:tcW w:w="986" w:type="dxa"/>
            <w:vAlign w:val="bottom"/>
          </w:tcPr>
          <w:p w:rsidR="0034774E" w:rsidRPr="00694568" w:rsidRDefault="0034774E" w:rsidP="00FB6CB3">
            <w:pPr>
              <w:jc w:val="right"/>
              <w:rPr>
                <w:rFonts w:ascii="Arial" w:eastAsia="Times New Roman" w:hAnsi="Arial" w:cs="Arial"/>
                <w:sz w:val="20"/>
                <w:szCs w:val="20"/>
                <w:lang w:eastAsia="en-GB"/>
              </w:rPr>
            </w:pPr>
            <w:r w:rsidRPr="00694568">
              <w:rPr>
                <w:rFonts w:ascii="Arial" w:eastAsia="Times New Roman" w:hAnsi="Arial" w:cs="Arial"/>
                <w:sz w:val="20"/>
                <w:szCs w:val="20"/>
                <w:lang w:eastAsia="en-GB"/>
              </w:rPr>
              <w:t>12,670</w:t>
            </w:r>
          </w:p>
        </w:tc>
        <w:tc>
          <w:tcPr>
            <w:tcW w:w="766" w:type="dxa"/>
          </w:tcPr>
          <w:p w:rsidR="0034774E" w:rsidRPr="00F45FF6" w:rsidRDefault="0034774E" w:rsidP="00FB6CB3">
            <w:pPr>
              <w:jc w:val="center"/>
              <w:rPr>
                <w:rFonts w:ascii="Arial" w:eastAsia="Times New Roman" w:hAnsi="Arial" w:cs="Arial"/>
                <w:sz w:val="24"/>
                <w:szCs w:val="24"/>
                <w:lang w:eastAsia="en-GB"/>
              </w:rPr>
            </w:pPr>
          </w:p>
        </w:tc>
        <w:tc>
          <w:tcPr>
            <w:tcW w:w="1054" w:type="dxa"/>
            <w:vAlign w:val="bottom"/>
          </w:tcPr>
          <w:p w:rsidR="0034774E" w:rsidRPr="00F45FF6" w:rsidRDefault="0034774E"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79</w:t>
            </w:r>
          </w:p>
        </w:tc>
        <w:tc>
          <w:tcPr>
            <w:tcW w:w="1053" w:type="dxa"/>
            <w:vAlign w:val="bottom"/>
          </w:tcPr>
          <w:p w:rsidR="0034774E" w:rsidRPr="00F45FF6" w:rsidRDefault="0034774E"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81</w:t>
            </w:r>
          </w:p>
        </w:tc>
        <w:tc>
          <w:tcPr>
            <w:tcW w:w="1652" w:type="dxa"/>
            <w:vAlign w:val="bottom"/>
          </w:tcPr>
          <w:p w:rsidR="0034774E" w:rsidRPr="00F45FF6" w:rsidRDefault="0034774E"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81</w:t>
            </w:r>
          </w:p>
        </w:tc>
      </w:tr>
    </w:tbl>
    <w:p w:rsidR="0034774E" w:rsidRDefault="0034774E" w:rsidP="0034774E">
      <w:pPr>
        <w:spacing w:after="0" w:line="240" w:lineRule="auto"/>
        <w:rPr>
          <w:rFonts w:ascii="Arial" w:eastAsia="Times New Roman" w:hAnsi="Arial" w:cs="Arial"/>
          <w:sz w:val="24"/>
          <w:szCs w:val="24"/>
          <w:lang w:eastAsia="en-GB"/>
        </w:rPr>
      </w:pPr>
    </w:p>
    <w:p w:rsidR="0034774E" w:rsidRDefault="0034774E" w:rsidP="00A868E9">
      <w:pPr>
        <w:spacing w:after="0"/>
        <w:rPr>
          <w:rFonts w:ascii="Arial" w:hAnsi="Arial" w:cs="Arial"/>
          <w:sz w:val="24"/>
          <w:szCs w:val="24"/>
        </w:rPr>
      </w:pPr>
    </w:p>
    <w:p w:rsidR="0042604D" w:rsidRDefault="0034774E" w:rsidP="00AA1332">
      <w:pPr>
        <w:spacing w:after="0"/>
        <w:rPr>
          <w:rFonts w:ascii="Arial" w:hAnsi="Arial" w:cs="Arial"/>
          <w:b/>
          <w:sz w:val="24"/>
          <w:szCs w:val="24"/>
        </w:rPr>
      </w:pPr>
      <w:r w:rsidRPr="0042604D">
        <w:rPr>
          <w:rFonts w:ascii="Arial" w:hAnsi="Arial" w:cs="Arial"/>
          <w:b/>
          <w:sz w:val="24"/>
          <w:szCs w:val="24"/>
        </w:rPr>
        <w:t>Disability</w:t>
      </w:r>
    </w:p>
    <w:p w:rsidR="00AA1332" w:rsidRDefault="00AA1332" w:rsidP="00AA1332">
      <w:pPr>
        <w:spacing w:after="0"/>
        <w:rPr>
          <w:rFonts w:ascii="Arial" w:hAnsi="Arial" w:cs="Arial"/>
          <w:sz w:val="24"/>
          <w:szCs w:val="24"/>
        </w:rPr>
      </w:pPr>
    </w:p>
    <w:p w:rsidR="006B2F6D" w:rsidRDefault="006B2F6D" w:rsidP="002F37F8">
      <w:pPr>
        <w:rPr>
          <w:rFonts w:ascii="Arial" w:hAnsi="Arial" w:cs="Arial"/>
          <w:sz w:val="24"/>
          <w:szCs w:val="24"/>
        </w:rPr>
      </w:pPr>
      <w:r>
        <w:rPr>
          <w:rFonts w:ascii="Arial" w:hAnsi="Arial" w:cs="Arial"/>
          <w:sz w:val="24"/>
          <w:szCs w:val="24"/>
        </w:rPr>
        <w:t xml:space="preserve">There has been a reduction </w:t>
      </w:r>
      <w:r w:rsidR="002F37F8" w:rsidRPr="00F837A5">
        <w:rPr>
          <w:rFonts w:ascii="Arial" w:hAnsi="Arial" w:cs="Arial"/>
          <w:sz w:val="24"/>
          <w:szCs w:val="24"/>
        </w:rPr>
        <w:t xml:space="preserve">of 2% </w:t>
      </w:r>
      <w:r>
        <w:rPr>
          <w:rFonts w:ascii="Arial" w:hAnsi="Arial" w:cs="Arial"/>
          <w:sz w:val="24"/>
          <w:szCs w:val="24"/>
        </w:rPr>
        <w:t xml:space="preserve">of learners who declare a disability or learning difficulty when they enrol with the </w:t>
      </w:r>
      <w:r w:rsidR="00AF0A87">
        <w:rPr>
          <w:rFonts w:ascii="Arial" w:hAnsi="Arial" w:cs="Arial"/>
          <w:sz w:val="24"/>
          <w:szCs w:val="24"/>
        </w:rPr>
        <w:t>C</w:t>
      </w:r>
      <w:r>
        <w:rPr>
          <w:rFonts w:ascii="Arial" w:hAnsi="Arial" w:cs="Arial"/>
          <w:sz w:val="24"/>
          <w:szCs w:val="24"/>
        </w:rPr>
        <w:t xml:space="preserve">ollege </w:t>
      </w:r>
      <w:r w:rsidR="002F37F8" w:rsidRPr="00F837A5">
        <w:rPr>
          <w:rFonts w:ascii="Arial" w:hAnsi="Arial" w:cs="Arial"/>
          <w:sz w:val="24"/>
          <w:szCs w:val="24"/>
        </w:rPr>
        <w:t>from 23</w:t>
      </w:r>
      <w:r>
        <w:rPr>
          <w:rFonts w:ascii="Arial" w:hAnsi="Arial" w:cs="Arial"/>
          <w:sz w:val="24"/>
          <w:szCs w:val="24"/>
        </w:rPr>
        <w:t>%</w:t>
      </w:r>
      <w:r w:rsidR="002F37F8" w:rsidRPr="00F837A5">
        <w:rPr>
          <w:rFonts w:ascii="Arial" w:hAnsi="Arial" w:cs="Arial"/>
          <w:sz w:val="24"/>
          <w:szCs w:val="24"/>
        </w:rPr>
        <w:t xml:space="preserve"> to 21</w:t>
      </w:r>
      <w:r>
        <w:rPr>
          <w:rFonts w:ascii="Arial" w:hAnsi="Arial" w:cs="Arial"/>
          <w:sz w:val="24"/>
          <w:szCs w:val="24"/>
        </w:rPr>
        <w:t>%.  The overall numbers have</w:t>
      </w:r>
      <w:r w:rsidR="00AF0A87">
        <w:rPr>
          <w:rFonts w:ascii="Arial" w:hAnsi="Arial" w:cs="Arial"/>
          <w:sz w:val="24"/>
          <w:szCs w:val="24"/>
        </w:rPr>
        <w:t xml:space="preserve"> however</w:t>
      </w:r>
      <w:r>
        <w:rPr>
          <w:rFonts w:ascii="Arial" w:hAnsi="Arial" w:cs="Arial"/>
          <w:sz w:val="24"/>
          <w:szCs w:val="24"/>
        </w:rPr>
        <w:t xml:space="preserve"> increased from 3814 learners to 5682 learners.  This gives us an increased number of learners with a disability or learning difficulty of 1868 individuals.</w:t>
      </w:r>
    </w:p>
    <w:p w:rsidR="002F37F8" w:rsidRPr="00F837A5" w:rsidRDefault="002F37F8" w:rsidP="002F37F8">
      <w:pPr>
        <w:rPr>
          <w:rFonts w:ascii="Arial" w:hAnsi="Arial" w:cs="Arial"/>
          <w:sz w:val="24"/>
          <w:szCs w:val="24"/>
        </w:rPr>
      </w:pPr>
      <w:r w:rsidRPr="00F837A5">
        <w:rPr>
          <w:rFonts w:ascii="Arial" w:hAnsi="Arial" w:cs="Arial"/>
          <w:noProof/>
          <w:sz w:val="24"/>
          <w:szCs w:val="24"/>
          <w:lang w:eastAsia="en-GB"/>
        </w:rPr>
        <w:drawing>
          <wp:inline distT="0" distB="0" distL="0" distR="0" wp14:anchorId="2432C9B5" wp14:editId="4B70E89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37F8" w:rsidRDefault="002F37F8" w:rsidP="002F37F8">
      <w:pPr>
        <w:spacing w:after="0" w:line="240" w:lineRule="auto"/>
        <w:rPr>
          <w:rFonts w:ascii="Arial" w:eastAsia="Times New Roman" w:hAnsi="Arial" w:cs="Arial"/>
          <w:sz w:val="24"/>
          <w:szCs w:val="24"/>
          <w:lang w:eastAsia="en-GB"/>
        </w:rPr>
      </w:pPr>
    </w:p>
    <w:p w:rsidR="00273FE1" w:rsidRDefault="006B2F6D" w:rsidP="002F37F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success rates of learners who have declared a disability or learning difficulty </w:t>
      </w:r>
      <w:r w:rsidR="00AF0A87">
        <w:rPr>
          <w:rFonts w:ascii="Arial" w:eastAsia="Times New Roman" w:hAnsi="Arial" w:cs="Arial"/>
          <w:sz w:val="24"/>
          <w:szCs w:val="24"/>
          <w:lang w:eastAsia="en-GB"/>
        </w:rPr>
        <w:t>has</w:t>
      </w:r>
      <w:r>
        <w:rPr>
          <w:rFonts w:ascii="Arial" w:eastAsia="Times New Roman" w:hAnsi="Arial" w:cs="Arial"/>
          <w:sz w:val="24"/>
          <w:szCs w:val="24"/>
          <w:lang w:eastAsia="en-GB"/>
        </w:rPr>
        <w:t xml:space="preserve"> reduced by 1% </w:t>
      </w:r>
      <w:r w:rsidR="00AF0A87">
        <w:rPr>
          <w:rFonts w:ascii="Arial" w:eastAsia="Times New Roman" w:hAnsi="Arial" w:cs="Arial"/>
          <w:sz w:val="24"/>
          <w:szCs w:val="24"/>
          <w:lang w:eastAsia="en-GB"/>
        </w:rPr>
        <w:t xml:space="preserve">and </w:t>
      </w:r>
      <w:r>
        <w:rPr>
          <w:rFonts w:ascii="Arial" w:eastAsia="Times New Roman" w:hAnsi="Arial" w:cs="Arial"/>
          <w:sz w:val="24"/>
          <w:szCs w:val="24"/>
          <w:lang w:eastAsia="en-GB"/>
        </w:rPr>
        <w:t>is</w:t>
      </w:r>
      <w:r w:rsidR="00273FE1">
        <w:rPr>
          <w:rFonts w:ascii="Arial" w:eastAsia="Times New Roman" w:hAnsi="Arial" w:cs="Arial"/>
          <w:sz w:val="24"/>
          <w:szCs w:val="24"/>
          <w:lang w:eastAsia="en-GB"/>
        </w:rPr>
        <w:t xml:space="preserve"> </w:t>
      </w:r>
      <w:r w:rsidR="00AF0A87">
        <w:rPr>
          <w:rFonts w:ascii="Arial" w:eastAsia="Times New Roman" w:hAnsi="Arial" w:cs="Arial"/>
          <w:sz w:val="24"/>
          <w:szCs w:val="24"/>
          <w:lang w:eastAsia="en-GB"/>
        </w:rPr>
        <w:t xml:space="preserve">now </w:t>
      </w:r>
      <w:r w:rsidR="00273FE1">
        <w:rPr>
          <w:rFonts w:ascii="Arial" w:eastAsia="Times New Roman" w:hAnsi="Arial" w:cs="Arial"/>
          <w:sz w:val="24"/>
          <w:szCs w:val="24"/>
          <w:lang w:eastAsia="en-GB"/>
        </w:rPr>
        <w:t>4% below</w:t>
      </w:r>
      <w:r w:rsidR="00AF0A87">
        <w:rPr>
          <w:rFonts w:ascii="Arial" w:eastAsia="Times New Roman" w:hAnsi="Arial" w:cs="Arial"/>
          <w:sz w:val="24"/>
          <w:szCs w:val="24"/>
          <w:lang w:eastAsia="en-GB"/>
        </w:rPr>
        <w:t xml:space="preserve"> the success rates for</w:t>
      </w:r>
      <w:r w:rsidR="00273FE1">
        <w:rPr>
          <w:rFonts w:ascii="Arial" w:eastAsia="Times New Roman" w:hAnsi="Arial" w:cs="Arial"/>
          <w:sz w:val="24"/>
          <w:szCs w:val="24"/>
          <w:lang w:eastAsia="en-GB"/>
        </w:rPr>
        <w:t xml:space="preserve"> non</w:t>
      </w:r>
      <w:r w:rsidR="00B74048">
        <w:rPr>
          <w:rFonts w:ascii="Arial" w:eastAsia="Times New Roman" w:hAnsi="Arial" w:cs="Arial"/>
          <w:sz w:val="24"/>
          <w:szCs w:val="24"/>
          <w:lang w:eastAsia="en-GB"/>
        </w:rPr>
        <w:t>-</w:t>
      </w:r>
      <w:r w:rsidR="00273FE1">
        <w:rPr>
          <w:rFonts w:ascii="Arial" w:eastAsia="Times New Roman" w:hAnsi="Arial" w:cs="Arial"/>
          <w:sz w:val="24"/>
          <w:szCs w:val="24"/>
          <w:lang w:eastAsia="en-GB"/>
        </w:rPr>
        <w:t xml:space="preserve">disabled learners at the college </w:t>
      </w:r>
      <w:r w:rsidR="00273FE1" w:rsidRPr="00273FE1">
        <w:rPr>
          <w:rFonts w:ascii="Arial" w:eastAsia="Times New Roman" w:hAnsi="Arial" w:cs="Arial"/>
          <w:sz w:val="24"/>
          <w:szCs w:val="24"/>
          <w:lang w:eastAsia="en-GB"/>
        </w:rPr>
        <w:t xml:space="preserve">and 3% below the National Average. </w:t>
      </w:r>
      <w:r w:rsidR="00273FE1">
        <w:rPr>
          <w:rFonts w:ascii="Arial" w:eastAsia="Times New Roman" w:hAnsi="Arial" w:cs="Arial"/>
          <w:sz w:val="24"/>
          <w:szCs w:val="24"/>
          <w:lang w:eastAsia="en-GB"/>
        </w:rPr>
        <w:t xml:space="preserve"> </w:t>
      </w:r>
      <w:r w:rsidR="00273FE1" w:rsidRPr="00273FE1">
        <w:rPr>
          <w:rFonts w:ascii="Arial" w:eastAsia="Times New Roman" w:hAnsi="Arial" w:cs="Arial"/>
          <w:sz w:val="24"/>
          <w:szCs w:val="24"/>
          <w:lang w:eastAsia="en-GB"/>
        </w:rPr>
        <w:t xml:space="preserve"> </w:t>
      </w:r>
    </w:p>
    <w:p w:rsidR="006B2F6D" w:rsidRDefault="006B2F6D" w:rsidP="002F37F8">
      <w:pPr>
        <w:spacing w:after="0" w:line="240" w:lineRule="auto"/>
        <w:rPr>
          <w:rFonts w:ascii="Arial" w:eastAsia="Times New Roman" w:hAnsi="Arial" w:cs="Arial"/>
          <w:sz w:val="24"/>
          <w:szCs w:val="24"/>
          <w:lang w:eastAsia="en-GB"/>
        </w:rPr>
      </w:pPr>
    </w:p>
    <w:tbl>
      <w:tblPr>
        <w:tblStyle w:val="TableGrid"/>
        <w:tblW w:w="8046" w:type="dxa"/>
        <w:tblLook w:val="04A0" w:firstRow="1" w:lastRow="0" w:firstColumn="1" w:lastColumn="0" w:noHBand="0" w:noVBand="1"/>
      </w:tblPr>
      <w:tblGrid>
        <w:gridCol w:w="1554"/>
        <w:gridCol w:w="981"/>
        <w:gridCol w:w="986"/>
        <w:gridCol w:w="766"/>
        <w:gridCol w:w="1054"/>
        <w:gridCol w:w="1053"/>
        <w:gridCol w:w="1652"/>
      </w:tblGrid>
      <w:tr w:rsidR="002F37F8" w:rsidTr="00FB6CB3">
        <w:tc>
          <w:tcPr>
            <w:tcW w:w="1554" w:type="dxa"/>
          </w:tcPr>
          <w:p w:rsidR="002F37F8" w:rsidRDefault="002F37F8" w:rsidP="00FB6CB3">
            <w:pPr>
              <w:jc w:val="center"/>
              <w:rPr>
                <w:rFonts w:ascii="Arial" w:eastAsia="Times New Roman" w:hAnsi="Arial" w:cs="Arial"/>
                <w:b/>
                <w:bCs/>
                <w:color w:val="000000"/>
                <w:sz w:val="24"/>
                <w:szCs w:val="24"/>
                <w:lang w:eastAsia="en-GB"/>
              </w:rPr>
            </w:pPr>
          </w:p>
        </w:tc>
        <w:tc>
          <w:tcPr>
            <w:tcW w:w="1967" w:type="dxa"/>
            <w:gridSpan w:val="2"/>
            <w:vAlign w:val="center"/>
          </w:tcPr>
          <w:p w:rsidR="002F37F8" w:rsidRPr="00F837A5" w:rsidRDefault="002F37F8"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Starts</w:t>
            </w:r>
          </w:p>
        </w:tc>
        <w:tc>
          <w:tcPr>
            <w:tcW w:w="766" w:type="dxa"/>
            <w:vMerge w:val="restart"/>
          </w:tcPr>
          <w:p w:rsidR="002F37F8" w:rsidRDefault="002F37F8" w:rsidP="00FB6CB3">
            <w:pPr>
              <w:jc w:val="center"/>
              <w:rPr>
                <w:rFonts w:ascii="Arial" w:eastAsia="Times New Roman" w:hAnsi="Arial" w:cs="Arial"/>
                <w:sz w:val="24"/>
                <w:szCs w:val="24"/>
                <w:lang w:eastAsia="en-GB"/>
              </w:rPr>
            </w:pPr>
          </w:p>
        </w:tc>
        <w:tc>
          <w:tcPr>
            <w:tcW w:w="2107" w:type="dxa"/>
            <w:gridSpan w:val="2"/>
            <w:vAlign w:val="center"/>
          </w:tcPr>
          <w:p w:rsidR="002F37F8" w:rsidRPr="00F837A5" w:rsidRDefault="002F37F8"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SSRs %</w:t>
            </w:r>
          </w:p>
        </w:tc>
        <w:tc>
          <w:tcPr>
            <w:tcW w:w="1652" w:type="dxa"/>
          </w:tcPr>
          <w:p w:rsidR="002F37F8" w:rsidRDefault="002F37F8"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National Average %</w:t>
            </w:r>
          </w:p>
        </w:tc>
      </w:tr>
      <w:tr w:rsidR="002F37F8" w:rsidTr="00FB6CB3">
        <w:tc>
          <w:tcPr>
            <w:tcW w:w="1554" w:type="dxa"/>
          </w:tcPr>
          <w:p w:rsidR="002F37F8" w:rsidRPr="00F837A5" w:rsidRDefault="002F37F8" w:rsidP="00FB6CB3">
            <w:pPr>
              <w:jc w:val="center"/>
              <w:rPr>
                <w:rFonts w:ascii="Arial" w:eastAsia="Times New Roman" w:hAnsi="Arial" w:cs="Arial"/>
                <w:b/>
                <w:bCs/>
                <w:color w:val="000000"/>
                <w:sz w:val="24"/>
                <w:szCs w:val="24"/>
                <w:lang w:eastAsia="en-GB"/>
              </w:rPr>
            </w:pPr>
          </w:p>
        </w:tc>
        <w:tc>
          <w:tcPr>
            <w:tcW w:w="981" w:type="dxa"/>
            <w:vAlign w:val="center"/>
          </w:tcPr>
          <w:p w:rsidR="002F37F8" w:rsidRPr="00F837A5" w:rsidRDefault="002F37F8"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986" w:type="dxa"/>
            <w:vAlign w:val="center"/>
          </w:tcPr>
          <w:p w:rsidR="002F37F8" w:rsidRPr="00F837A5" w:rsidRDefault="002F37F8"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c>
          <w:tcPr>
            <w:tcW w:w="766" w:type="dxa"/>
            <w:vMerge/>
          </w:tcPr>
          <w:p w:rsidR="002F37F8" w:rsidRDefault="002F37F8" w:rsidP="00FB6CB3">
            <w:pPr>
              <w:jc w:val="center"/>
              <w:rPr>
                <w:rFonts w:ascii="Arial" w:eastAsia="Times New Roman" w:hAnsi="Arial" w:cs="Arial"/>
                <w:sz w:val="24"/>
                <w:szCs w:val="24"/>
                <w:lang w:eastAsia="en-GB"/>
              </w:rPr>
            </w:pPr>
          </w:p>
        </w:tc>
        <w:tc>
          <w:tcPr>
            <w:tcW w:w="1054" w:type="dxa"/>
            <w:vAlign w:val="center"/>
          </w:tcPr>
          <w:p w:rsidR="002F37F8" w:rsidRPr="00F837A5" w:rsidRDefault="002F37F8"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1053" w:type="dxa"/>
            <w:vAlign w:val="center"/>
          </w:tcPr>
          <w:p w:rsidR="002F37F8" w:rsidRPr="00F837A5" w:rsidRDefault="002F37F8"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c>
          <w:tcPr>
            <w:tcW w:w="1652" w:type="dxa"/>
            <w:vAlign w:val="bottom"/>
          </w:tcPr>
          <w:p w:rsidR="002F37F8" w:rsidRPr="00AF6749" w:rsidRDefault="002F37F8" w:rsidP="00FB6CB3">
            <w:pPr>
              <w:jc w:val="center"/>
              <w:rPr>
                <w:rFonts w:ascii="Arial" w:eastAsia="Times New Roman" w:hAnsi="Arial" w:cs="Arial"/>
                <w:sz w:val="20"/>
                <w:szCs w:val="20"/>
                <w:lang w:eastAsia="en-GB"/>
              </w:rPr>
            </w:pPr>
            <w:r>
              <w:rPr>
                <w:rFonts w:ascii="Arial" w:eastAsia="Times New Roman" w:hAnsi="Arial" w:cs="Arial"/>
                <w:sz w:val="20"/>
                <w:szCs w:val="20"/>
                <w:lang w:eastAsia="en-GB"/>
              </w:rPr>
              <w:t>10/11</w:t>
            </w:r>
          </w:p>
        </w:tc>
      </w:tr>
      <w:tr w:rsidR="002F37F8" w:rsidTr="00FB6CB3">
        <w:tc>
          <w:tcPr>
            <w:tcW w:w="1554" w:type="dxa"/>
            <w:vAlign w:val="bottom"/>
          </w:tcPr>
          <w:p w:rsidR="002F37F8" w:rsidRPr="00AF6749" w:rsidRDefault="002F37F8" w:rsidP="00FB6CB3">
            <w:pPr>
              <w:rPr>
                <w:rFonts w:ascii="Arial" w:eastAsia="Times New Roman" w:hAnsi="Arial" w:cs="Arial"/>
                <w:sz w:val="20"/>
                <w:szCs w:val="20"/>
                <w:lang w:eastAsia="en-GB"/>
              </w:rPr>
            </w:pPr>
            <w:proofErr w:type="spellStart"/>
            <w:r w:rsidRPr="00AF6749">
              <w:rPr>
                <w:rFonts w:ascii="Arial" w:eastAsia="Times New Roman" w:hAnsi="Arial" w:cs="Arial"/>
                <w:sz w:val="20"/>
                <w:szCs w:val="20"/>
                <w:lang w:eastAsia="en-GB"/>
              </w:rPr>
              <w:t>Lrg</w:t>
            </w:r>
            <w:proofErr w:type="spellEnd"/>
            <w:r w:rsidRPr="00AF6749">
              <w:rPr>
                <w:rFonts w:ascii="Arial" w:eastAsia="Times New Roman" w:hAnsi="Arial" w:cs="Arial"/>
                <w:sz w:val="20"/>
                <w:szCs w:val="20"/>
                <w:lang w:eastAsia="en-GB"/>
              </w:rPr>
              <w:t xml:space="preserve"> diff/dis</w:t>
            </w:r>
          </w:p>
        </w:tc>
        <w:tc>
          <w:tcPr>
            <w:tcW w:w="981" w:type="dxa"/>
            <w:vAlign w:val="bottom"/>
          </w:tcPr>
          <w:p w:rsidR="002F37F8" w:rsidRPr="00AF6749" w:rsidRDefault="002F37F8" w:rsidP="00FB6CB3">
            <w:pPr>
              <w:jc w:val="right"/>
              <w:rPr>
                <w:rFonts w:ascii="Arial" w:eastAsia="Times New Roman" w:hAnsi="Arial" w:cs="Arial"/>
                <w:sz w:val="20"/>
                <w:szCs w:val="20"/>
                <w:lang w:eastAsia="en-GB"/>
              </w:rPr>
            </w:pPr>
            <w:r w:rsidRPr="00AF6749">
              <w:rPr>
                <w:rFonts w:ascii="Arial" w:eastAsia="Times New Roman" w:hAnsi="Arial" w:cs="Arial"/>
                <w:sz w:val="20"/>
                <w:szCs w:val="20"/>
                <w:lang w:eastAsia="en-GB"/>
              </w:rPr>
              <w:t>3814</w:t>
            </w:r>
          </w:p>
        </w:tc>
        <w:tc>
          <w:tcPr>
            <w:tcW w:w="986" w:type="dxa"/>
            <w:vAlign w:val="bottom"/>
          </w:tcPr>
          <w:p w:rsidR="002F37F8" w:rsidRPr="00AF6749" w:rsidRDefault="002F37F8" w:rsidP="00FB6CB3">
            <w:pPr>
              <w:jc w:val="right"/>
              <w:rPr>
                <w:rFonts w:ascii="Arial" w:eastAsia="Times New Roman" w:hAnsi="Arial" w:cs="Arial"/>
                <w:sz w:val="20"/>
                <w:szCs w:val="20"/>
                <w:lang w:eastAsia="en-GB"/>
              </w:rPr>
            </w:pPr>
            <w:r w:rsidRPr="00AF6749">
              <w:rPr>
                <w:rFonts w:ascii="Arial" w:eastAsia="Times New Roman" w:hAnsi="Arial" w:cs="Arial"/>
                <w:sz w:val="20"/>
                <w:szCs w:val="20"/>
                <w:lang w:eastAsia="en-GB"/>
              </w:rPr>
              <w:t>5,682</w:t>
            </w:r>
          </w:p>
        </w:tc>
        <w:tc>
          <w:tcPr>
            <w:tcW w:w="766" w:type="dxa"/>
            <w:vMerge/>
          </w:tcPr>
          <w:p w:rsidR="002F37F8" w:rsidRDefault="002F37F8" w:rsidP="00FB6CB3">
            <w:pPr>
              <w:jc w:val="center"/>
              <w:rPr>
                <w:rFonts w:ascii="Arial" w:eastAsia="Times New Roman" w:hAnsi="Arial" w:cs="Arial"/>
                <w:sz w:val="24"/>
                <w:szCs w:val="24"/>
                <w:lang w:eastAsia="en-GB"/>
              </w:rPr>
            </w:pPr>
          </w:p>
        </w:tc>
        <w:tc>
          <w:tcPr>
            <w:tcW w:w="1054"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80</w:t>
            </w:r>
          </w:p>
        </w:tc>
        <w:tc>
          <w:tcPr>
            <w:tcW w:w="1053"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79</w:t>
            </w:r>
          </w:p>
        </w:tc>
        <w:tc>
          <w:tcPr>
            <w:tcW w:w="1652"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82</w:t>
            </w:r>
          </w:p>
        </w:tc>
      </w:tr>
      <w:tr w:rsidR="002F37F8" w:rsidTr="00FB6CB3">
        <w:tc>
          <w:tcPr>
            <w:tcW w:w="1554" w:type="dxa"/>
            <w:vAlign w:val="bottom"/>
          </w:tcPr>
          <w:p w:rsidR="002F37F8" w:rsidRPr="00AF6749" w:rsidRDefault="002F37F8" w:rsidP="00FB6CB3">
            <w:pPr>
              <w:rPr>
                <w:rFonts w:ascii="Arial" w:eastAsia="Times New Roman" w:hAnsi="Arial" w:cs="Arial"/>
                <w:sz w:val="20"/>
                <w:szCs w:val="20"/>
                <w:lang w:eastAsia="en-GB"/>
              </w:rPr>
            </w:pPr>
            <w:r w:rsidRPr="00AF6749">
              <w:rPr>
                <w:rFonts w:ascii="Arial" w:eastAsia="Times New Roman" w:hAnsi="Arial" w:cs="Arial"/>
                <w:sz w:val="20"/>
                <w:szCs w:val="20"/>
                <w:lang w:eastAsia="en-GB"/>
              </w:rPr>
              <w:t xml:space="preserve">No </w:t>
            </w:r>
            <w:proofErr w:type="spellStart"/>
            <w:r w:rsidRPr="00AF6749">
              <w:rPr>
                <w:rFonts w:ascii="Arial" w:eastAsia="Times New Roman" w:hAnsi="Arial" w:cs="Arial"/>
                <w:sz w:val="20"/>
                <w:szCs w:val="20"/>
                <w:lang w:eastAsia="en-GB"/>
              </w:rPr>
              <w:t>lrg</w:t>
            </w:r>
            <w:proofErr w:type="spellEnd"/>
            <w:r w:rsidRPr="00AF6749">
              <w:rPr>
                <w:rFonts w:ascii="Arial" w:eastAsia="Times New Roman" w:hAnsi="Arial" w:cs="Arial"/>
                <w:sz w:val="20"/>
                <w:szCs w:val="20"/>
                <w:lang w:eastAsia="en-GB"/>
              </w:rPr>
              <w:t xml:space="preserve"> diff/dis</w:t>
            </w:r>
          </w:p>
        </w:tc>
        <w:tc>
          <w:tcPr>
            <w:tcW w:w="981" w:type="dxa"/>
            <w:vAlign w:val="bottom"/>
          </w:tcPr>
          <w:p w:rsidR="002F37F8" w:rsidRPr="00AF6749" w:rsidRDefault="002F37F8" w:rsidP="00FB6CB3">
            <w:pPr>
              <w:jc w:val="right"/>
              <w:rPr>
                <w:rFonts w:ascii="Arial" w:eastAsia="Times New Roman" w:hAnsi="Arial" w:cs="Arial"/>
                <w:sz w:val="20"/>
                <w:szCs w:val="20"/>
                <w:lang w:eastAsia="en-GB"/>
              </w:rPr>
            </w:pPr>
            <w:r w:rsidRPr="00AF6749">
              <w:rPr>
                <w:rFonts w:ascii="Arial" w:eastAsia="Times New Roman" w:hAnsi="Arial" w:cs="Arial"/>
                <w:sz w:val="20"/>
                <w:szCs w:val="20"/>
                <w:lang w:eastAsia="en-GB"/>
              </w:rPr>
              <w:t>14130</w:t>
            </w:r>
          </w:p>
        </w:tc>
        <w:tc>
          <w:tcPr>
            <w:tcW w:w="986" w:type="dxa"/>
            <w:vAlign w:val="bottom"/>
          </w:tcPr>
          <w:p w:rsidR="002F37F8" w:rsidRPr="00AF6749" w:rsidRDefault="002F37F8" w:rsidP="00FB6CB3">
            <w:pPr>
              <w:jc w:val="right"/>
              <w:rPr>
                <w:rFonts w:ascii="Arial" w:eastAsia="Times New Roman" w:hAnsi="Arial" w:cs="Arial"/>
                <w:sz w:val="20"/>
                <w:szCs w:val="20"/>
                <w:lang w:eastAsia="en-GB"/>
              </w:rPr>
            </w:pPr>
            <w:r w:rsidRPr="00AF6749">
              <w:rPr>
                <w:rFonts w:ascii="Arial" w:eastAsia="Times New Roman" w:hAnsi="Arial" w:cs="Arial"/>
                <w:sz w:val="20"/>
                <w:szCs w:val="20"/>
                <w:lang w:eastAsia="en-GB"/>
              </w:rPr>
              <w:t>21,230</w:t>
            </w:r>
          </w:p>
        </w:tc>
        <w:tc>
          <w:tcPr>
            <w:tcW w:w="766" w:type="dxa"/>
            <w:vMerge/>
          </w:tcPr>
          <w:p w:rsidR="002F37F8" w:rsidRDefault="002F37F8" w:rsidP="00FB6CB3">
            <w:pPr>
              <w:jc w:val="center"/>
              <w:rPr>
                <w:rFonts w:ascii="Arial" w:eastAsia="Times New Roman" w:hAnsi="Arial" w:cs="Arial"/>
                <w:sz w:val="24"/>
                <w:szCs w:val="24"/>
                <w:lang w:eastAsia="en-GB"/>
              </w:rPr>
            </w:pPr>
          </w:p>
        </w:tc>
        <w:tc>
          <w:tcPr>
            <w:tcW w:w="1054"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79</w:t>
            </w:r>
          </w:p>
        </w:tc>
        <w:tc>
          <w:tcPr>
            <w:tcW w:w="1053"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84</w:t>
            </w:r>
          </w:p>
        </w:tc>
        <w:tc>
          <w:tcPr>
            <w:tcW w:w="1652"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81</w:t>
            </w:r>
          </w:p>
        </w:tc>
      </w:tr>
      <w:tr w:rsidR="002F37F8" w:rsidTr="00FB6CB3">
        <w:tc>
          <w:tcPr>
            <w:tcW w:w="1554" w:type="dxa"/>
            <w:vAlign w:val="bottom"/>
          </w:tcPr>
          <w:p w:rsidR="002F37F8" w:rsidRPr="00AF6749" w:rsidRDefault="002F37F8" w:rsidP="00FB6CB3">
            <w:pPr>
              <w:rPr>
                <w:rFonts w:ascii="Arial" w:eastAsia="Times New Roman" w:hAnsi="Arial" w:cs="Arial"/>
                <w:sz w:val="20"/>
                <w:szCs w:val="20"/>
                <w:lang w:eastAsia="en-GB"/>
              </w:rPr>
            </w:pPr>
            <w:r w:rsidRPr="00AF6749">
              <w:rPr>
                <w:rFonts w:ascii="Arial" w:eastAsia="Times New Roman" w:hAnsi="Arial" w:cs="Arial"/>
                <w:sz w:val="20"/>
                <w:szCs w:val="20"/>
                <w:lang w:eastAsia="en-GB"/>
              </w:rPr>
              <w:t>Not known</w:t>
            </w:r>
          </w:p>
        </w:tc>
        <w:tc>
          <w:tcPr>
            <w:tcW w:w="981" w:type="dxa"/>
            <w:vAlign w:val="bottom"/>
          </w:tcPr>
          <w:p w:rsidR="002F37F8" w:rsidRPr="00AF6749" w:rsidRDefault="002F37F8" w:rsidP="00FB6CB3">
            <w:pPr>
              <w:jc w:val="right"/>
              <w:rPr>
                <w:rFonts w:ascii="Arial" w:eastAsia="Times New Roman" w:hAnsi="Arial" w:cs="Arial"/>
                <w:sz w:val="20"/>
                <w:szCs w:val="20"/>
                <w:lang w:eastAsia="en-GB"/>
              </w:rPr>
            </w:pPr>
            <w:r w:rsidRPr="00AF6749">
              <w:rPr>
                <w:rFonts w:ascii="Arial" w:eastAsia="Times New Roman" w:hAnsi="Arial" w:cs="Arial"/>
                <w:sz w:val="20"/>
                <w:szCs w:val="20"/>
                <w:lang w:eastAsia="en-GB"/>
              </w:rPr>
              <w:t>239</w:t>
            </w:r>
          </w:p>
        </w:tc>
        <w:tc>
          <w:tcPr>
            <w:tcW w:w="986" w:type="dxa"/>
            <w:vAlign w:val="bottom"/>
          </w:tcPr>
          <w:p w:rsidR="002F37F8" w:rsidRPr="00AF6749" w:rsidRDefault="002F37F8" w:rsidP="00FB6CB3">
            <w:pPr>
              <w:jc w:val="right"/>
              <w:rPr>
                <w:rFonts w:ascii="Arial" w:eastAsia="Times New Roman" w:hAnsi="Arial" w:cs="Arial"/>
                <w:sz w:val="20"/>
                <w:szCs w:val="20"/>
                <w:lang w:eastAsia="en-GB"/>
              </w:rPr>
            </w:pPr>
            <w:r w:rsidRPr="00AF6749">
              <w:rPr>
                <w:rFonts w:ascii="Arial" w:eastAsia="Times New Roman" w:hAnsi="Arial" w:cs="Arial"/>
                <w:sz w:val="20"/>
                <w:szCs w:val="20"/>
                <w:lang w:eastAsia="en-GB"/>
              </w:rPr>
              <w:t>427</w:t>
            </w:r>
          </w:p>
        </w:tc>
        <w:tc>
          <w:tcPr>
            <w:tcW w:w="766" w:type="dxa"/>
            <w:vMerge/>
          </w:tcPr>
          <w:p w:rsidR="002F37F8" w:rsidRDefault="002F37F8" w:rsidP="00FB6CB3">
            <w:pPr>
              <w:jc w:val="center"/>
              <w:rPr>
                <w:rFonts w:ascii="Arial" w:eastAsia="Times New Roman" w:hAnsi="Arial" w:cs="Arial"/>
                <w:sz w:val="24"/>
                <w:szCs w:val="24"/>
                <w:lang w:eastAsia="en-GB"/>
              </w:rPr>
            </w:pPr>
          </w:p>
        </w:tc>
        <w:tc>
          <w:tcPr>
            <w:tcW w:w="1054"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80</w:t>
            </w:r>
          </w:p>
        </w:tc>
        <w:tc>
          <w:tcPr>
            <w:tcW w:w="1053"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81</w:t>
            </w:r>
          </w:p>
        </w:tc>
        <w:tc>
          <w:tcPr>
            <w:tcW w:w="1652" w:type="dxa"/>
            <w:vAlign w:val="bottom"/>
          </w:tcPr>
          <w:p w:rsidR="002F37F8" w:rsidRPr="00694568" w:rsidRDefault="002F37F8" w:rsidP="00FB6CB3">
            <w:pPr>
              <w:jc w:val="center"/>
              <w:rPr>
                <w:rFonts w:ascii="Arial" w:eastAsia="Times New Roman" w:hAnsi="Arial" w:cs="Arial"/>
                <w:sz w:val="20"/>
                <w:szCs w:val="20"/>
                <w:lang w:eastAsia="en-GB"/>
              </w:rPr>
            </w:pPr>
            <w:r w:rsidRPr="00694568">
              <w:rPr>
                <w:rFonts w:ascii="Arial" w:eastAsia="Times New Roman" w:hAnsi="Arial" w:cs="Arial"/>
                <w:sz w:val="20"/>
                <w:szCs w:val="20"/>
                <w:lang w:eastAsia="en-GB"/>
              </w:rPr>
              <w:t>80</w:t>
            </w:r>
          </w:p>
        </w:tc>
      </w:tr>
    </w:tbl>
    <w:p w:rsidR="002F37F8" w:rsidRDefault="002F37F8" w:rsidP="002F37F8">
      <w:pPr>
        <w:spacing w:after="0" w:line="240" w:lineRule="auto"/>
        <w:rPr>
          <w:rFonts w:ascii="Arial" w:eastAsia="Times New Roman" w:hAnsi="Arial" w:cs="Arial"/>
          <w:sz w:val="24"/>
          <w:szCs w:val="24"/>
          <w:lang w:eastAsia="en-GB"/>
        </w:rPr>
      </w:pPr>
    </w:p>
    <w:p w:rsidR="009320AE" w:rsidRDefault="009320AE" w:rsidP="00DA01A0">
      <w:pPr>
        <w:spacing w:after="0"/>
        <w:rPr>
          <w:rFonts w:ascii="Arial" w:hAnsi="Arial" w:cs="Arial"/>
          <w:sz w:val="24"/>
          <w:szCs w:val="24"/>
        </w:rPr>
      </w:pPr>
    </w:p>
    <w:p w:rsidR="00B74048" w:rsidRDefault="00B74048" w:rsidP="003D2BCD">
      <w:pPr>
        <w:spacing w:after="0"/>
        <w:rPr>
          <w:rFonts w:ascii="Arial" w:hAnsi="Arial" w:cs="Arial"/>
          <w:b/>
          <w:sz w:val="24"/>
          <w:szCs w:val="24"/>
        </w:rPr>
      </w:pPr>
    </w:p>
    <w:p w:rsidR="003D2BCD" w:rsidRPr="00AA1332" w:rsidRDefault="00273FE1" w:rsidP="003D2BCD">
      <w:pPr>
        <w:spacing w:after="0"/>
        <w:rPr>
          <w:rFonts w:ascii="Arial" w:hAnsi="Arial" w:cs="Arial"/>
          <w:b/>
          <w:sz w:val="24"/>
          <w:szCs w:val="24"/>
        </w:rPr>
      </w:pPr>
      <w:r w:rsidRPr="00AA1332">
        <w:rPr>
          <w:rFonts w:ascii="Arial" w:hAnsi="Arial" w:cs="Arial"/>
          <w:b/>
          <w:sz w:val="24"/>
          <w:szCs w:val="24"/>
        </w:rPr>
        <w:lastRenderedPageBreak/>
        <w:t>Ethnicity</w:t>
      </w:r>
    </w:p>
    <w:p w:rsidR="003D2BCD" w:rsidRDefault="003D2BCD" w:rsidP="003D2BCD">
      <w:pPr>
        <w:spacing w:after="0"/>
        <w:rPr>
          <w:rFonts w:ascii="Arial" w:hAnsi="Arial" w:cs="Arial"/>
          <w:sz w:val="24"/>
          <w:szCs w:val="24"/>
        </w:rPr>
      </w:pPr>
    </w:p>
    <w:p w:rsidR="003D2BCD" w:rsidRDefault="00DA28B2" w:rsidP="003D2BCD">
      <w:pPr>
        <w:spacing w:after="0"/>
        <w:rPr>
          <w:rFonts w:ascii="Arial" w:hAnsi="Arial" w:cs="Arial"/>
          <w:sz w:val="24"/>
          <w:szCs w:val="24"/>
        </w:rPr>
      </w:pPr>
      <w:r>
        <w:rPr>
          <w:rFonts w:ascii="Arial" w:hAnsi="Arial" w:cs="Arial"/>
          <w:sz w:val="24"/>
          <w:szCs w:val="24"/>
        </w:rPr>
        <w:t xml:space="preserve">The ethnic diversity within the learner population has seen significant developments during the academic year of 2011 – 2012 in terms of representation and success rates.  The equality objectives identified as a result of the SSR data of ethnic groups from the academic year 2010 – 2011 and the pre-merger data of </w:t>
      </w:r>
      <w:r w:rsidR="00AF0A87">
        <w:rPr>
          <w:rFonts w:ascii="Arial" w:hAnsi="Arial" w:cs="Arial"/>
          <w:sz w:val="24"/>
          <w:szCs w:val="24"/>
        </w:rPr>
        <w:t xml:space="preserve">South Nottingham </w:t>
      </w:r>
      <w:r>
        <w:rPr>
          <w:rFonts w:ascii="Arial" w:hAnsi="Arial" w:cs="Arial"/>
          <w:sz w:val="24"/>
          <w:szCs w:val="24"/>
        </w:rPr>
        <w:t>and Castle College</w:t>
      </w:r>
      <w:r w:rsidR="00AF0A87">
        <w:rPr>
          <w:rFonts w:ascii="Arial" w:hAnsi="Arial" w:cs="Arial"/>
          <w:sz w:val="24"/>
          <w:szCs w:val="24"/>
        </w:rPr>
        <w:t>s</w:t>
      </w:r>
      <w:r>
        <w:rPr>
          <w:rFonts w:ascii="Arial" w:hAnsi="Arial" w:cs="Arial"/>
          <w:sz w:val="24"/>
          <w:szCs w:val="24"/>
        </w:rPr>
        <w:t xml:space="preserve"> reflected the gaps in success rates amongst ethnic groups, most of which were below college and national </w:t>
      </w:r>
      <w:r w:rsidR="00AF0A87">
        <w:rPr>
          <w:rFonts w:ascii="Arial" w:hAnsi="Arial" w:cs="Arial"/>
          <w:sz w:val="24"/>
          <w:szCs w:val="24"/>
        </w:rPr>
        <w:t>average</w:t>
      </w:r>
      <w:r>
        <w:rPr>
          <w:rFonts w:ascii="Arial" w:hAnsi="Arial" w:cs="Arial"/>
          <w:sz w:val="24"/>
          <w:szCs w:val="24"/>
        </w:rPr>
        <w:t xml:space="preserve">.  The EDI Committee and the Corporation agreed that a priority for the </w:t>
      </w:r>
      <w:r w:rsidR="00AF0A87">
        <w:rPr>
          <w:rFonts w:ascii="Arial" w:hAnsi="Arial" w:cs="Arial"/>
          <w:sz w:val="24"/>
          <w:szCs w:val="24"/>
        </w:rPr>
        <w:t>C</w:t>
      </w:r>
      <w:r>
        <w:rPr>
          <w:rFonts w:ascii="Arial" w:hAnsi="Arial" w:cs="Arial"/>
          <w:sz w:val="24"/>
          <w:szCs w:val="24"/>
        </w:rPr>
        <w:t xml:space="preserve">ollege </w:t>
      </w:r>
      <w:r w:rsidR="00AF0A87">
        <w:rPr>
          <w:rFonts w:ascii="Arial" w:hAnsi="Arial" w:cs="Arial"/>
          <w:sz w:val="24"/>
          <w:szCs w:val="24"/>
        </w:rPr>
        <w:t>was</w:t>
      </w:r>
      <w:r w:rsidR="00B74048">
        <w:rPr>
          <w:rFonts w:ascii="Arial" w:hAnsi="Arial" w:cs="Arial"/>
          <w:sz w:val="24"/>
          <w:szCs w:val="24"/>
        </w:rPr>
        <w:t xml:space="preserve"> </w:t>
      </w:r>
      <w:r>
        <w:rPr>
          <w:rFonts w:ascii="Arial" w:hAnsi="Arial" w:cs="Arial"/>
          <w:sz w:val="24"/>
          <w:szCs w:val="24"/>
        </w:rPr>
        <w:t>to narrow the</w:t>
      </w:r>
      <w:r w:rsidR="00AF0A87">
        <w:rPr>
          <w:rFonts w:ascii="Arial" w:hAnsi="Arial" w:cs="Arial"/>
          <w:sz w:val="24"/>
          <w:szCs w:val="24"/>
        </w:rPr>
        <w:t xml:space="preserve"> </w:t>
      </w:r>
      <w:r>
        <w:rPr>
          <w:rFonts w:ascii="Arial" w:hAnsi="Arial" w:cs="Arial"/>
          <w:sz w:val="24"/>
          <w:szCs w:val="24"/>
        </w:rPr>
        <w:t>gaps between specified groups of learners.</w:t>
      </w:r>
    </w:p>
    <w:p w:rsidR="000E55C5" w:rsidRDefault="000E55C5" w:rsidP="003D2BCD">
      <w:pPr>
        <w:spacing w:after="0"/>
        <w:rPr>
          <w:rFonts w:ascii="Arial" w:hAnsi="Arial" w:cs="Arial"/>
          <w:sz w:val="24"/>
          <w:szCs w:val="24"/>
        </w:rPr>
      </w:pPr>
    </w:p>
    <w:p w:rsidR="009B5A0B" w:rsidRPr="00F837A5" w:rsidRDefault="009B5A0B" w:rsidP="009B5A0B">
      <w:pPr>
        <w:rPr>
          <w:rFonts w:ascii="Arial" w:hAnsi="Arial" w:cs="Arial"/>
          <w:sz w:val="24"/>
          <w:szCs w:val="24"/>
        </w:rPr>
      </w:pPr>
      <w:r w:rsidRPr="00F837A5">
        <w:rPr>
          <w:rFonts w:ascii="Arial" w:hAnsi="Arial" w:cs="Arial"/>
          <w:noProof/>
          <w:sz w:val="24"/>
          <w:szCs w:val="24"/>
          <w:lang w:eastAsia="en-GB"/>
        </w:rPr>
        <w:drawing>
          <wp:anchor distT="0" distB="0" distL="114300" distR="114300" simplePos="0" relativeHeight="251659264" behindDoc="0" locked="0" layoutInCell="1" allowOverlap="1" wp14:anchorId="7623077C" wp14:editId="38E30C3E">
            <wp:simplePos x="0" y="0"/>
            <wp:positionH relativeFrom="column">
              <wp:align>left</wp:align>
            </wp:positionH>
            <wp:positionV relativeFrom="paragraph">
              <wp:align>top</wp:align>
            </wp:positionV>
            <wp:extent cx="4572000" cy="3124200"/>
            <wp:effectExtent l="0" t="0" r="19050" b="1905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B5A0B" w:rsidRPr="00F837A5" w:rsidRDefault="009B5A0B" w:rsidP="009B5A0B">
      <w:pPr>
        <w:rPr>
          <w:rFonts w:ascii="Arial" w:hAnsi="Arial" w:cs="Arial"/>
          <w:sz w:val="24"/>
          <w:szCs w:val="24"/>
        </w:rPr>
      </w:pPr>
    </w:p>
    <w:p w:rsidR="009B5A0B" w:rsidRPr="00F837A5" w:rsidRDefault="009B5A0B" w:rsidP="009B5A0B">
      <w:pPr>
        <w:rPr>
          <w:rFonts w:ascii="Arial" w:hAnsi="Arial" w:cs="Arial"/>
          <w:sz w:val="24"/>
          <w:szCs w:val="24"/>
        </w:rPr>
      </w:pPr>
    </w:p>
    <w:p w:rsidR="009B5A0B" w:rsidRPr="00F837A5" w:rsidRDefault="009B5A0B" w:rsidP="009B5A0B">
      <w:pPr>
        <w:rPr>
          <w:rFonts w:ascii="Arial" w:hAnsi="Arial" w:cs="Arial"/>
          <w:sz w:val="24"/>
          <w:szCs w:val="24"/>
        </w:rPr>
      </w:pPr>
    </w:p>
    <w:p w:rsidR="009B5A0B" w:rsidRPr="00F837A5" w:rsidRDefault="009B5A0B" w:rsidP="009B5A0B">
      <w:pPr>
        <w:rPr>
          <w:rFonts w:ascii="Arial" w:hAnsi="Arial" w:cs="Arial"/>
          <w:sz w:val="24"/>
          <w:szCs w:val="24"/>
        </w:rPr>
      </w:pPr>
    </w:p>
    <w:p w:rsidR="009B5A0B" w:rsidRDefault="009B5A0B" w:rsidP="009B5A0B">
      <w:pPr>
        <w:rPr>
          <w:rFonts w:ascii="Arial" w:hAnsi="Arial" w:cs="Arial"/>
          <w:sz w:val="24"/>
          <w:szCs w:val="24"/>
        </w:rPr>
      </w:pPr>
    </w:p>
    <w:p w:rsidR="009B5A0B" w:rsidRDefault="009B5A0B" w:rsidP="009B5A0B">
      <w:pPr>
        <w:rPr>
          <w:rFonts w:ascii="Arial" w:hAnsi="Arial" w:cs="Arial"/>
          <w:sz w:val="24"/>
          <w:szCs w:val="24"/>
        </w:rPr>
      </w:pPr>
    </w:p>
    <w:p w:rsidR="009B5A0B" w:rsidRDefault="009B5A0B" w:rsidP="009B5A0B">
      <w:pPr>
        <w:rPr>
          <w:rFonts w:ascii="Arial" w:hAnsi="Arial" w:cs="Arial"/>
          <w:sz w:val="24"/>
          <w:szCs w:val="24"/>
        </w:rPr>
      </w:pPr>
    </w:p>
    <w:p w:rsidR="009B5A0B" w:rsidRDefault="009B5A0B" w:rsidP="009B5A0B">
      <w:pPr>
        <w:rPr>
          <w:rFonts w:ascii="Arial" w:hAnsi="Arial" w:cs="Arial"/>
          <w:sz w:val="24"/>
          <w:szCs w:val="24"/>
        </w:rPr>
      </w:pPr>
    </w:p>
    <w:p w:rsidR="009B5A0B" w:rsidRDefault="009B5A0B" w:rsidP="009B5A0B">
      <w:pPr>
        <w:rPr>
          <w:rFonts w:ascii="Arial" w:hAnsi="Arial" w:cs="Arial"/>
          <w:sz w:val="24"/>
          <w:szCs w:val="24"/>
        </w:rPr>
      </w:pPr>
    </w:p>
    <w:p w:rsidR="00931B1E" w:rsidRDefault="00931B1E" w:rsidP="003D2BCD">
      <w:pPr>
        <w:spacing w:after="0"/>
        <w:rPr>
          <w:rFonts w:ascii="Arial" w:hAnsi="Arial" w:cs="Arial"/>
          <w:sz w:val="24"/>
          <w:szCs w:val="24"/>
        </w:rPr>
      </w:pPr>
      <w:r>
        <w:rPr>
          <w:rFonts w:ascii="Arial" w:hAnsi="Arial" w:cs="Arial"/>
          <w:sz w:val="24"/>
          <w:szCs w:val="24"/>
        </w:rPr>
        <w:t xml:space="preserve">There have been increases in the representation of some ethnic minority groups during 2011 – 2012.  The overall BME population has increased by 1% </w:t>
      </w:r>
      <w:r w:rsidR="009B5A0B">
        <w:rPr>
          <w:rFonts w:ascii="Arial" w:hAnsi="Arial" w:cs="Arial"/>
          <w:sz w:val="24"/>
          <w:szCs w:val="24"/>
        </w:rPr>
        <w:t>to 19.9% of the total learner population</w:t>
      </w:r>
      <w:r>
        <w:rPr>
          <w:rFonts w:ascii="Arial" w:hAnsi="Arial" w:cs="Arial"/>
          <w:sz w:val="24"/>
          <w:szCs w:val="24"/>
        </w:rPr>
        <w:t xml:space="preserve">, </w:t>
      </w:r>
      <w:r w:rsidR="00AF0A87">
        <w:rPr>
          <w:rFonts w:ascii="Arial" w:hAnsi="Arial" w:cs="Arial"/>
          <w:sz w:val="24"/>
          <w:szCs w:val="24"/>
        </w:rPr>
        <w:t xml:space="preserve">and </w:t>
      </w:r>
      <w:r>
        <w:rPr>
          <w:rFonts w:ascii="Arial" w:hAnsi="Arial" w:cs="Arial"/>
          <w:sz w:val="24"/>
          <w:szCs w:val="24"/>
        </w:rPr>
        <w:t>there have been significant developments in the engagement of learners from ethnic minority groups who had been poorly represented in previous years.</w:t>
      </w:r>
      <w:r w:rsidR="000E55C5">
        <w:rPr>
          <w:rFonts w:ascii="Arial" w:hAnsi="Arial" w:cs="Arial"/>
          <w:sz w:val="24"/>
          <w:szCs w:val="24"/>
        </w:rPr>
        <w:t xml:space="preserve">  The table below shows the %</w:t>
      </w:r>
      <w:r w:rsidR="00AF0A87">
        <w:rPr>
          <w:rFonts w:ascii="Arial" w:hAnsi="Arial" w:cs="Arial"/>
          <w:sz w:val="24"/>
          <w:szCs w:val="24"/>
        </w:rPr>
        <w:t>age</w:t>
      </w:r>
      <w:r w:rsidR="000E55C5">
        <w:rPr>
          <w:rFonts w:ascii="Arial" w:hAnsi="Arial" w:cs="Arial"/>
          <w:sz w:val="24"/>
          <w:szCs w:val="24"/>
        </w:rPr>
        <w:t xml:space="preserve"> of learner minority groups compared to the %</w:t>
      </w:r>
      <w:r w:rsidR="00AF0A87">
        <w:rPr>
          <w:rFonts w:ascii="Arial" w:hAnsi="Arial" w:cs="Arial"/>
          <w:sz w:val="24"/>
          <w:szCs w:val="24"/>
        </w:rPr>
        <w:t>age</w:t>
      </w:r>
      <w:r w:rsidR="000E55C5">
        <w:rPr>
          <w:rFonts w:ascii="Arial" w:hAnsi="Arial" w:cs="Arial"/>
          <w:sz w:val="24"/>
          <w:szCs w:val="24"/>
        </w:rPr>
        <w:t xml:space="preserve"> of ethnic minority groups across the conurbation.  In all cases, the college population </w:t>
      </w:r>
      <w:r w:rsidR="00AF0A87">
        <w:rPr>
          <w:rFonts w:ascii="Arial" w:hAnsi="Arial" w:cs="Arial"/>
          <w:sz w:val="24"/>
          <w:szCs w:val="24"/>
        </w:rPr>
        <w:t xml:space="preserve">demonstrates </w:t>
      </w:r>
      <w:r w:rsidR="000E55C5">
        <w:rPr>
          <w:rFonts w:ascii="Arial" w:hAnsi="Arial" w:cs="Arial"/>
          <w:sz w:val="24"/>
          <w:szCs w:val="24"/>
        </w:rPr>
        <w:t>a high percentage of ethnic diversity.</w:t>
      </w:r>
    </w:p>
    <w:p w:rsidR="00B74048" w:rsidRDefault="00B74048">
      <w:pPr>
        <w:rPr>
          <w:rFonts w:ascii="Arial" w:hAnsi="Arial" w:cs="Arial"/>
          <w:sz w:val="24"/>
          <w:szCs w:val="24"/>
        </w:rPr>
      </w:pPr>
      <w:r>
        <w:rPr>
          <w:rFonts w:ascii="Arial" w:hAnsi="Arial" w:cs="Arial"/>
          <w:sz w:val="24"/>
          <w:szCs w:val="24"/>
        </w:rPr>
        <w:br w:type="page"/>
      </w:r>
    </w:p>
    <w:p w:rsidR="00AA1332" w:rsidRPr="00F837A5" w:rsidRDefault="00AA1332" w:rsidP="003D2BCD">
      <w:pPr>
        <w:spacing w:after="0"/>
        <w:rPr>
          <w:rFonts w:ascii="Arial" w:hAnsi="Arial" w:cs="Arial"/>
          <w:sz w:val="24"/>
          <w:szCs w:val="24"/>
        </w:rPr>
      </w:pPr>
    </w:p>
    <w:tbl>
      <w:tblPr>
        <w:tblStyle w:val="TableGrid"/>
        <w:tblW w:w="0" w:type="auto"/>
        <w:tblLook w:val="04A0" w:firstRow="1" w:lastRow="0" w:firstColumn="1" w:lastColumn="0" w:noHBand="0" w:noVBand="1"/>
      </w:tblPr>
      <w:tblGrid>
        <w:gridCol w:w="1538"/>
        <w:gridCol w:w="1507"/>
        <w:gridCol w:w="1608"/>
        <w:gridCol w:w="2127"/>
      </w:tblGrid>
      <w:tr w:rsidR="003D2BCD" w:rsidRPr="00F837A5" w:rsidTr="00AA1332">
        <w:tc>
          <w:tcPr>
            <w:tcW w:w="6780" w:type="dxa"/>
            <w:gridSpan w:val="4"/>
          </w:tcPr>
          <w:p w:rsidR="003D2BCD" w:rsidRPr="00F837A5" w:rsidRDefault="003D2BCD" w:rsidP="009F5BF2">
            <w:pPr>
              <w:jc w:val="center"/>
              <w:rPr>
                <w:rFonts w:ascii="Arial" w:hAnsi="Arial" w:cs="Arial"/>
                <w:sz w:val="24"/>
                <w:szCs w:val="24"/>
              </w:rPr>
            </w:pPr>
            <w:r w:rsidRPr="00F837A5">
              <w:rPr>
                <w:rFonts w:ascii="Arial" w:hAnsi="Arial" w:cs="Arial"/>
                <w:sz w:val="24"/>
                <w:szCs w:val="24"/>
              </w:rPr>
              <w:t>Ethnic Group Representation of Total Population by  %</w:t>
            </w:r>
          </w:p>
        </w:tc>
      </w:tr>
      <w:tr w:rsidR="003D2BCD" w:rsidRPr="00F837A5" w:rsidTr="00AA1332">
        <w:tc>
          <w:tcPr>
            <w:tcW w:w="1538" w:type="dxa"/>
          </w:tcPr>
          <w:p w:rsidR="003D2BCD" w:rsidRPr="00F837A5" w:rsidRDefault="003D2BCD" w:rsidP="00FB6CB3">
            <w:pPr>
              <w:rPr>
                <w:rFonts w:ascii="Arial" w:hAnsi="Arial" w:cs="Arial"/>
                <w:sz w:val="24"/>
                <w:szCs w:val="24"/>
              </w:rPr>
            </w:pPr>
            <w:r w:rsidRPr="00F837A5">
              <w:rPr>
                <w:rFonts w:ascii="Arial" w:hAnsi="Arial" w:cs="Arial"/>
                <w:sz w:val="24"/>
                <w:szCs w:val="24"/>
              </w:rPr>
              <w:t>Ethnic Group</w:t>
            </w:r>
          </w:p>
        </w:tc>
        <w:tc>
          <w:tcPr>
            <w:tcW w:w="150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College Learners</w:t>
            </w:r>
          </w:p>
          <w:p w:rsidR="003D2BCD" w:rsidRPr="00F837A5" w:rsidRDefault="003D2BCD" w:rsidP="00FB6CB3">
            <w:pPr>
              <w:jc w:val="center"/>
              <w:rPr>
                <w:rFonts w:ascii="Arial" w:hAnsi="Arial" w:cs="Arial"/>
                <w:sz w:val="24"/>
                <w:szCs w:val="24"/>
              </w:rPr>
            </w:pPr>
            <w:r w:rsidRPr="00F837A5">
              <w:rPr>
                <w:rFonts w:ascii="Arial" w:hAnsi="Arial" w:cs="Arial"/>
                <w:sz w:val="24"/>
                <w:szCs w:val="24"/>
              </w:rPr>
              <w:t>2010 – 2011</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College Learners</w:t>
            </w:r>
          </w:p>
          <w:p w:rsidR="003D2BCD" w:rsidRPr="00F837A5" w:rsidRDefault="003D2BCD" w:rsidP="00FB6CB3">
            <w:pPr>
              <w:jc w:val="center"/>
              <w:rPr>
                <w:rFonts w:ascii="Arial" w:hAnsi="Arial" w:cs="Arial"/>
                <w:sz w:val="24"/>
                <w:szCs w:val="24"/>
              </w:rPr>
            </w:pPr>
            <w:r w:rsidRPr="00F837A5">
              <w:rPr>
                <w:rFonts w:ascii="Arial" w:hAnsi="Arial" w:cs="Arial"/>
                <w:sz w:val="24"/>
                <w:szCs w:val="24"/>
              </w:rPr>
              <w:t>2011-2012</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Census 2011</w:t>
            </w:r>
          </w:p>
          <w:p w:rsidR="003D2BCD" w:rsidRPr="00F837A5" w:rsidRDefault="003D2BCD" w:rsidP="00FB6CB3">
            <w:pPr>
              <w:jc w:val="center"/>
              <w:rPr>
                <w:rFonts w:ascii="Arial" w:hAnsi="Arial" w:cs="Arial"/>
                <w:sz w:val="24"/>
                <w:szCs w:val="24"/>
              </w:rPr>
            </w:pPr>
            <w:r w:rsidRPr="00F837A5">
              <w:rPr>
                <w:rFonts w:ascii="Arial" w:hAnsi="Arial" w:cs="Arial"/>
                <w:sz w:val="24"/>
                <w:szCs w:val="24"/>
              </w:rPr>
              <w:t>Nottinghamshire Population*</w:t>
            </w:r>
          </w:p>
        </w:tc>
      </w:tr>
      <w:tr w:rsidR="003D2BCD" w:rsidRPr="00F837A5" w:rsidTr="00AA1332">
        <w:tc>
          <w:tcPr>
            <w:tcW w:w="1538" w:type="dxa"/>
          </w:tcPr>
          <w:p w:rsidR="003D2BCD" w:rsidRPr="00F837A5" w:rsidRDefault="003D2BCD" w:rsidP="00FB6CB3">
            <w:pPr>
              <w:rPr>
                <w:rFonts w:ascii="Arial" w:hAnsi="Arial" w:cs="Arial"/>
                <w:sz w:val="24"/>
                <w:szCs w:val="24"/>
              </w:rPr>
            </w:pPr>
            <w:r w:rsidRPr="00F837A5">
              <w:rPr>
                <w:rFonts w:ascii="Arial" w:hAnsi="Arial" w:cs="Arial"/>
                <w:sz w:val="24"/>
                <w:szCs w:val="24"/>
              </w:rPr>
              <w:t>African</w:t>
            </w:r>
          </w:p>
        </w:tc>
        <w:tc>
          <w:tcPr>
            <w:tcW w:w="150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19.6</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24.2</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3.4</w:t>
            </w:r>
          </w:p>
        </w:tc>
      </w:tr>
      <w:tr w:rsidR="003D2BCD" w:rsidRPr="00F837A5" w:rsidTr="00AA1332">
        <w:tc>
          <w:tcPr>
            <w:tcW w:w="1538" w:type="dxa"/>
          </w:tcPr>
          <w:p w:rsidR="003D2BCD" w:rsidRPr="00F837A5" w:rsidRDefault="003D2BCD" w:rsidP="00FB6CB3">
            <w:pPr>
              <w:rPr>
                <w:rFonts w:ascii="Arial" w:hAnsi="Arial" w:cs="Arial"/>
                <w:sz w:val="24"/>
                <w:szCs w:val="24"/>
              </w:rPr>
            </w:pPr>
            <w:r w:rsidRPr="00F837A5">
              <w:rPr>
                <w:rFonts w:ascii="Arial" w:hAnsi="Arial" w:cs="Arial"/>
                <w:sz w:val="24"/>
                <w:szCs w:val="24"/>
              </w:rPr>
              <w:t>Arab</w:t>
            </w:r>
          </w:p>
        </w:tc>
        <w:tc>
          <w:tcPr>
            <w:tcW w:w="1507" w:type="dxa"/>
          </w:tcPr>
          <w:p w:rsidR="003D2BCD" w:rsidRPr="00F837A5" w:rsidRDefault="000E55C5" w:rsidP="00FB6CB3">
            <w:pPr>
              <w:jc w:val="center"/>
              <w:rPr>
                <w:rFonts w:ascii="Arial" w:hAnsi="Arial" w:cs="Arial"/>
                <w:sz w:val="24"/>
                <w:szCs w:val="24"/>
              </w:rPr>
            </w:pPr>
            <w:r>
              <w:rPr>
                <w:rFonts w:ascii="Arial" w:hAnsi="Arial" w:cs="Arial"/>
                <w:sz w:val="24"/>
                <w:szCs w:val="24"/>
              </w:rPr>
              <w:t>n/a**</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1.2</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0.9</w:t>
            </w:r>
          </w:p>
        </w:tc>
      </w:tr>
      <w:tr w:rsidR="003D2BCD" w:rsidRPr="00F837A5" w:rsidTr="00AA1332">
        <w:tc>
          <w:tcPr>
            <w:tcW w:w="1538" w:type="dxa"/>
          </w:tcPr>
          <w:p w:rsidR="003D2BCD" w:rsidRPr="00F837A5" w:rsidRDefault="003D2BCD" w:rsidP="00FB6CB3">
            <w:pPr>
              <w:rPr>
                <w:rFonts w:ascii="Arial" w:hAnsi="Arial" w:cs="Arial"/>
                <w:sz w:val="24"/>
                <w:szCs w:val="24"/>
              </w:rPr>
            </w:pPr>
            <w:r w:rsidRPr="00F837A5">
              <w:rPr>
                <w:rFonts w:ascii="Arial" w:hAnsi="Arial" w:cs="Arial"/>
                <w:sz w:val="24"/>
                <w:szCs w:val="24"/>
              </w:rPr>
              <w:t>Bangladeshi</w:t>
            </w:r>
          </w:p>
        </w:tc>
        <w:tc>
          <w:tcPr>
            <w:tcW w:w="150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1.2</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1.7</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0.4</w:t>
            </w:r>
          </w:p>
        </w:tc>
      </w:tr>
      <w:tr w:rsidR="003D2BCD" w:rsidRPr="00F837A5" w:rsidTr="00AA1332">
        <w:tc>
          <w:tcPr>
            <w:tcW w:w="1538" w:type="dxa"/>
          </w:tcPr>
          <w:p w:rsidR="003D2BCD" w:rsidRPr="00F837A5" w:rsidRDefault="00B74048" w:rsidP="00FB6CB3">
            <w:pPr>
              <w:rPr>
                <w:rFonts w:ascii="Arial" w:hAnsi="Arial" w:cs="Arial"/>
                <w:sz w:val="24"/>
                <w:szCs w:val="24"/>
              </w:rPr>
            </w:pPr>
            <w:r w:rsidRPr="00F837A5">
              <w:rPr>
                <w:rFonts w:ascii="Arial" w:hAnsi="Arial" w:cs="Arial"/>
                <w:sz w:val="24"/>
                <w:szCs w:val="24"/>
              </w:rPr>
              <w:t>Caribbean</w:t>
            </w:r>
          </w:p>
        </w:tc>
        <w:tc>
          <w:tcPr>
            <w:tcW w:w="150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15.7</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19.1</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3.5</w:t>
            </w:r>
          </w:p>
        </w:tc>
      </w:tr>
      <w:tr w:rsidR="003D2BCD" w:rsidRPr="00F837A5" w:rsidTr="00AA1332">
        <w:tc>
          <w:tcPr>
            <w:tcW w:w="1538" w:type="dxa"/>
          </w:tcPr>
          <w:p w:rsidR="003D2BCD" w:rsidRPr="00F837A5" w:rsidRDefault="003D2BCD" w:rsidP="00FB6CB3">
            <w:pPr>
              <w:rPr>
                <w:rFonts w:ascii="Arial" w:hAnsi="Arial" w:cs="Arial"/>
                <w:sz w:val="24"/>
                <w:szCs w:val="24"/>
              </w:rPr>
            </w:pPr>
            <w:r w:rsidRPr="00F837A5">
              <w:rPr>
                <w:rFonts w:ascii="Arial" w:hAnsi="Arial" w:cs="Arial"/>
                <w:sz w:val="24"/>
                <w:szCs w:val="24"/>
              </w:rPr>
              <w:t>Chinese</w:t>
            </w:r>
          </w:p>
        </w:tc>
        <w:tc>
          <w:tcPr>
            <w:tcW w:w="150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3</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3.2</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2.4</w:t>
            </w:r>
          </w:p>
        </w:tc>
      </w:tr>
      <w:tr w:rsidR="003D2BCD" w:rsidRPr="00F837A5" w:rsidTr="00AA1332">
        <w:tc>
          <w:tcPr>
            <w:tcW w:w="1538" w:type="dxa"/>
          </w:tcPr>
          <w:p w:rsidR="003D2BCD" w:rsidRPr="00F837A5" w:rsidRDefault="003D2BCD" w:rsidP="00FB6CB3">
            <w:pPr>
              <w:rPr>
                <w:rFonts w:ascii="Arial" w:hAnsi="Arial" w:cs="Arial"/>
                <w:sz w:val="24"/>
                <w:szCs w:val="24"/>
              </w:rPr>
            </w:pPr>
            <w:r w:rsidRPr="00F837A5">
              <w:rPr>
                <w:rFonts w:ascii="Arial" w:hAnsi="Arial" w:cs="Arial"/>
                <w:sz w:val="24"/>
                <w:szCs w:val="24"/>
              </w:rPr>
              <w:t>Indian</w:t>
            </w:r>
          </w:p>
        </w:tc>
        <w:tc>
          <w:tcPr>
            <w:tcW w:w="150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7.6</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7.9</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4.1</w:t>
            </w:r>
          </w:p>
        </w:tc>
      </w:tr>
      <w:tr w:rsidR="003D2BCD" w:rsidRPr="00F837A5" w:rsidTr="00AA1332">
        <w:tc>
          <w:tcPr>
            <w:tcW w:w="1538" w:type="dxa"/>
          </w:tcPr>
          <w:p w:rsidR="003D2BCD" w:rsidRPr="00F837A5" w:rsidRDefault="003D2BCD" w:rsidP="00FB6CB3">
            <w:pPr>
              <w:rPr>
                <w:rFonts w:ascii="Arial" w:hAnsi="Arial" w:cs="Arial"/>
                <w:sz w:val="24"/>
                <w:szCs w:val="24"/>
              </w:rPr>
            </w:pPr>
            <w:r w:rsidRPr="00F837A5">
              <w:rPr>
                <w:rFonts w:ascii="Arial" w:hAnsi="Arial" w:cs="Arial"/>
                <w:sz w:val="24"/>
                <w:szCs w:val="24"/>
              </w:rPr>
              <w:t>Pakistani</w:t>
            </w:r>
          </w:p>
        </w:tc>
        <w:tc>
          <w:tcPr>
            <w:tcW w:w="150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17.1</w:t>
            </w:r>
          </w:p>
        </w:tc>
        <w:tc>
          <w:tcPr>
            <w:tcW w:w="1608"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15.7</w:t>
            </w:r>
          </w:p>
        </w:tc>
        <w:tc>
          <w:tcPr>
            <w:tcW w:w="2127" w:type="dxa"/>
          </w:tcPr>
          <w:p w:rsidR="003D2BCD" w:rsidRPr="00F837A5" w:rsidRDefault="003D2BCD" w:rsidP="00FB6CB3">
            <w:pPr>
              <w:jc w:val="center"/>
              <w:rPr>
                <w:rFonts w:ascii="Arial" w:hAnsi="Arial" w:cs="Arial"/>
                <w:sz w:val="24"/>
                <w:szCs w:val="24"/>
              </w:rPr>
            </w:pPr>
            <w:r w:rsidRPr="00F837A5">
              <w:rPr>
                <w:rFonts w:ascii="Arial" w:hAnsi="Arial" w:cs="Arial"/>
                <w:sz w:val="24"/>
                <w:szCs w:val="24"/>
              </w:rPr>
              <w:t>5.9</w:t>
            </w:r>
          </w:p>
        </w:tc>
      </w:tr>
    </w:tbl>
    <w:p w:rsidR="000E55C5" w:rsidRDefault="003D2BCD" w:rsidP="000E55C5">
      <w:pPr>
        <w:rPr>
          <w:rFonts w:ascii="Arial" w:eastAsia="Times New Roman" w:hAnsi="Arial" w:cs="Arial"/>
          <w:sz w:val="20"/>
          <w:szCs w:val="20"/>
          <w:lang w:eastAsia="en-GB"/>
        </w:rPr>
      </w:pPr>
      <w:r w:rsidRPr="00F837A5">
        <w:rPr>
          <w:rFonts w:ascii="Arial" w:hAnsi="Arial" w:cs="Arial"/>
          <w:sz w:val="20"/>
          <w:szCs w:val="20"/>
        </w:rPr>
        <w:t xml:space="preserve">* Nottinghamshire population as listed in Census 2011 incorporates authorities of Nottingham City, </w:t>
      </w:r>
      <w:r w:rsidR="00B74048" w:rsidRPr="00F837A5">
        <w:rPr>
          <w:rFonts w:ascii="Arial" w:hAnsi="Arial" w:cs="Arial"/>
          <w:sz w:val="20"/>
          <w:szCs w:val="20"/>
        </w:rPr>
        <w:t>Ashfield</w:t>
      </w:r>
      <w:r w:rsidRPr="00F837A5">
        <w:rPr>
          <w:rFonts w:ascii="Arial" w:hAnsi="Arial" w:cs="Arial"/>
          <w:sz w:val="20"/>
          <w:szCs w:val="20"/>
        </w:rPr>
        <w:t>, Bassetlaw, Broxtowe, Gedling, Mansfield,</w:t>
      </w:r>
      <w:r w:rsidR="000E55C5">
        <w:rPr>
          <w:rFonts w:ascii="Arial" w:hAnsi="Arial" w:cs="Arial"/>
          <w:sz w:val="20"/>
          <w:szCs w:val="20"/>
        </w:rPr>
        <w:t xml:space="preserve"> </w:t>
      </w:r>
      <w:r w:rsidRPr="00F837A5">
        <w:rPr>
          <w:rFonts w:ascii="Arial" w:hAnsi="Arial" w:cs="Arial"/>
          <w:sz w:val="20"/>
          <w:szCs w:val="20"/>
        </w:rPr>
        <w:t>Newark and Sherwood and Rushcliffe.</w:t>
      </w:r>
      <w:r w:rsidR="000E55C5">
        <w:rPr>
          <w:rFonts w:ascii="Arial" w:hAnsi="Arial" w:cs="Arial"/>
          <w:sz w:val="20"/>
          <w:szCs w:val="20"/>
        </w:rPr>
        <w:t xml:space="preserve">           **</w:t>
      </w:r>
      <w:r w:rsidR="000E55C5" w:rsidRPr="009A208B">
        <w:rPr>
          <w:rFonts w:ascii="Arial" w:eastAsia="Times New Roman" w:hAnsi="Arial" w:cs="Arial"/>
          <w:sz w:val="20"/>
          <w:szCs w:val="20"/>
          <w:lang w:eastAsia="en-GB"/>
        </w:rPr>
        <w:t>Data for these ethnic groups had not been monitored before academic year 2011/2012.</w:t>
      </w:r>
    </w:p>
    <w:p w:rsidR="00D02EAA" w:rsidRDefault="00AF0A87" w:rsidP="00B74048">
      <w:pPr>
        <w:rPr>
          <w:rFonts w:ascii="Arial" w:eastAsia="Times New Roman" w:hAnsi="Arial" w:cs="Arial"/>
          <w:sz w:val="24"/>
          <w:szCs w:val="24"/>
          <w:lang w:eastAsia="en-GB"/>
        </w:rPr>
      </w:pPr>
      <w:r>
        <w:rPr>
          <w:rFonts w:ascii="Arial" w:eastAsia="Times New Roman" w:hAnsi="Arial" w:cs="Arial"/>
          <w:sz w:val="24"/>
          <w:szCs w:val="24"/>
          <w:lang w:eastAsia="en-GB"/>
        </w:rPr>
        <w:br w:type="page"/>
      </w:r>
      <w:r w:rsidR="00D02EAA">
        <w:rPr>
          <w:rFonts w:ascii="Arial" w:eastAsia="Times New Roman" w:hAnsi="Arial" w:cs="Arial"/>
          <w:sz w:val="24"/>
          <w:szCs w:val="24"/>
          <w:lang w:eastAsia="en-GB"/>
        </w:rPr>
        <w:lastRenderedPageBreak/>
        <w:t>The table</w:t>
      </w:r>
      <w:r w:rsidR="008B12D4">
        <w:rPr>
          <w:rFonts w:ascii="Arial" w:eastAsia="Times New Roman" w:hAnsi="Arial" w:cs="Arial"/>
          <w:sz w:val="24"/>
          <w:szCs w:val="24"/>
          <w:lang w:eastAsia="en-GB"/>
        </w:rPr>
        <w:t xml:space="preserve"> and graph</w:t>
      </w:r>
      <w:r w:rsidR="00D02EAA">
        <w:rPr>
          <w:rFonts w:ascii="Arial" w:eastAsia="Times New Roman" w:hAnsi="Arial" w:cs="Arial"/>
          <w:sz w:val="24"/>
          <w:szCs w:val="24"/>
          <w:lang w:eastAsia="en-GB"/>
        </w:rPr>
        <w:t xml:space="preserve"> below shows the increases in numbers of learners from ethnic groups between the academic years of 2010 – 2011 and 2011 – 2012.  </w:t>
      </w:r>
      <w:r w:rsidR="008B12D4">
        <w:rPr>
          <w:rFonts w:ascii="Arial" w:eastAsia="Times New Roman" w:hAnsi="Arial" w:cs="Arial"/>
          <w:sz w:val="24"/>
          <w:szCs w:val="24"/>
          <w:lang w:eastAsia="en-GB"/>
        </w:rPr>
        <w:t xml:space="preserve">They </w:t>
      </w:r>
      <w:r w:rsidR="00AA1332">
        <w:rPr>
          <w:rFonts w:ascii="Arial" w:eastAsia="Times New Roman" w:hAnsi="Arial" w:cs="Arial"/>
          <w:sz w:val="24"/>
          <w:szCs w:val="24"/>
          <w:lang w:eastAsia="en-GB"/>
        </w:rPr>
        <w:t>also show</w:t>
      </w:r>
      <w:r w:rsidR="00D02EAA">
        <w:rPr>
          <w:rFonts w:ascii="Arial" w:eastAsia="Times New Roman" w:hAnsi="Arial" w:cs="Arial"/>
          <w:sz w:val="24"/>
          <w:szCs w:val="24"/>
          <w:lang w:eastAsia="en-GB"/>
        </w:rPr>
        <w:t xml:space="preserve"> the positive imp</w:t>
      </w:r>
      <w:r w:rsidR="008B12D4">
        <w:rPr>
          <w:rFonts w:ascii="Arial" w:eastAsia="Times New Roman" w:hAnsi="Arial" w:cs="Arial"/>
          <w:sz w:val="24"/>
          <w:szCs w:val="24"/>
          <w:lang w:eastAsia="en-GB"/>
        </w:rPr>
        <w:t>r</w:t>
      </w:r>
      <w:r w:rsidR="00D02EAA">
        <w:rPr>
          <w:rFonts w:ascii="Arial" w:eastAsia="Times New Roman" w:hAnsi="Arial" w:cs="Arial"/>
          <w:sz w:val="24"/>
          <w:szCs w:val="24"/>
          <w:lang w:eastAsia="en-GB"/>
        </w:rPr>
        <w:t>ovements in success rates for minority groups.</w:t>
      </w:r>
    </w:p>
    <w:p w:rsidR="00AA1332" w:rsidRDefault="00AA1332" w:rsidP="003D2BCD">
      <w:pPr>
        <w:spacing w:after="0" w:line="240" w:lineRule="auto"/>
        <w:rPr>
          <w:rFonts w:ascii="Arial" w:eastAsia="Times New Roman" w:hAnsi="Arial" w:cs="Arial"/>
          <w:sz w:val="24"/>
          <w:szCs w:val="24"/>
          <w:lang w:eastAsia="en-GB"/>
        </w:rPr>
      </w:pPr>
    </w:p>
    <w:tbl>
      <w:tblPr>
        <w:tblStyle w:val="TableGrid"/>
        <w:tblW w:w="8046" w:type="dxa"/>
        <w:tblLook w:val="04A0" w:firstRow="1" w:lastRow="0" w:firstColumn="1" w:lastColumn="0" w:noHBand="0" w:noVBand="1"/>
      </w:tblPr>
      <w:tblGrid>
        <w:gridCol w:w="1951"/>
        <w:gridCol w:w="1134"/>
        <w:gridCol w:w="1134"/>
        <w:gridCol w:w="1276"/>
        <w:gridCol w:w="1276"/>
        <w:gridCol w:w="1275"/>
      </w:tblGrid>
      <w:tr w:rsidR="003D2BCD" w:rsidTr="00FB6CB3">
        <w:tc>
          <w:tcPr>
            <w:tcW w:w="1951" w:type="dxa"/>
          </w:tcPr>
          <w:p w:rsidR="003D2BCD" w:rsidRDefault="003D2BCD" w:rsidP="00FB6CB3">
            <w:pPr>
              <w:rPr>
                <w:rFonts w:ascii="Arial" w:eastAsia="Times New Roman" w:hAnsi="Arial" w:cs="Arial"/>
                <w:sz w:val="24"/>
                <w:szCs w:val="24"/>
                <w:lang w:eastAsia="en-GB"/>
              </w:rPr>
            </w:pPr>
            <w:r>
              <w:rPr>
                <w:rFonts w:ascii="Arial" w:eastAsia="Times New Roman" w:hAnsi="Arial" w:cs="Arial"/>
                <w:sz w:val="24"/>
                <w:szCs w:val="24"/>
                <w:lang w:eastAsia="en-GB"/>
              </w:rPr>
              <w:t>Ethnicity</w:t>
            </w:r>
          </w:p>
        </w:tc>
        <w:tc>
          <w:tcPr>
            <w:tcW w:w="2268" w:type="dxa"/>
            <w:gridSpan w:val="2"/>
            <w:vAlign w:val="center"/>
          </w:tcPr>
          <w:p w:rsidR="003D2BCD" w:rsidRPr="00F837A5" w:rsidRDefault="003D2BCD"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Starts</w:t>
            </w:r>
          </w:p>
        </w:tc>
        <w:tc>
          <w:tcPr>
            <w:tcW w:w="1276" w:type="dxa"/>
            <w:vMerge w:val="restart"/>
          </w:tcPr>
          <w:p w:rsidR="003D2BCD" w:rsidRDefault="003D2BCD" w:rsidP="00FB6CB3">
            <w:pPr>
              <w:jc w:val="center"/>
              <w:rPr>
                <w:rFonts w:ascii="Arial" w:eastAsia="Times New Roman" w:hAnsi="Arial" w:cs="Arial"/>
                <w:sz w:val="24"/>
                <w:szCs w:val="24"/>
                <w:lang w:eastAsia="en-GB"/>
              </w:rPr>
            </w:pPr>
          </w:p>
        </w:tc>
        <w:tc>
          <w:tcPr>
            <w:tcW w:w="2551" w:type="dxa"/>
            <w:gridSpan w:val="2"/>
            <w:vAlign w:val="center"/>
          </w:tcPr>
          <w:p w:rsidR="003D2BCD" w:rsidRPr="00F837A5" w:rsidRDefault="003D2BCD" w:rsidP="00FB6CB3">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SSRs %</w:t>
            </w:r>
          </w:p>
        </w:tc>
      </w:tr>
      <w:tr w:rsidR="003D2BCD" w:rsidTr="00FB6CB3">
        <w:tc>
          <w:tcPr>
            <w:tcW w:w="1951" w:type="dxa"/>
          </w:tcPr>
          <w:p w:rsidR="003D2BCD" w:rsidRDefault="003D2BCD" w:rsidP="00FB6CB3">
            <w:pPr>
              <w:rPr>
                <w:rFonts w:ascii="Arial" w:eastAsia="Times New Roman" w:hAnsi="Arial" w:cs="Arial"/>
                <w:sz w:val="24"/>
                <w:szCs w:val="24"/>
                <w:lang w:eastAsia="en-GB"/>
              </w:rPr>
            </w:pPr>
          </w:p>
        </w:tc>
        <w:tc>
          <w:tcPr>
            <w:tcW w:w="1134"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1134"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10/11</w:t>
            </w:r>
          </w:p>
        </w:tc>
        <w:tc>
          <w:tcPr>
            <w:tcW w:w="1275"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11/12</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African</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675</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1,331</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66.7%</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87.4%</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Bangladeshi</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41</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93</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70.7%</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88.2%</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Caribbean</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540</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1,053</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74.1%</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82.8%</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Chinese</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105</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175</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73.3%</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73.1%</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Indian</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263</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434</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81.0%</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85.0%</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Other Asian</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456</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716</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68.6%</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75.1%</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Other Black</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158</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281</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69.0%</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84.7%</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Other Mixed</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93</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175</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75.3%</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75.4%</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Other White</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1,052</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1,692</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74.6%</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84.0%</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Pakistani</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589</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864</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74.0%</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78.9%</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White British</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13,166</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19,583</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82.3%</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83.3%</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White Irish</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84</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85</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78.6%</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81.2%</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White/ Black African</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104</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153</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77.9%</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80.4%</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White/Asian</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99</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152</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74.7%</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80.3%</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White/Black Caribbean</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321</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12</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72.9%</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0.0%</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Other</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298</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239</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65.1%</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74.1%</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Not Provided</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139</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219</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84.9%</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84.9%</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Arab</w:t>
            </w:r>
            <w:r>
              <w:rPr>
                <w:rFonts w:ascii="Arial" w:eastAsia="Times New Roman" w:hAnsi="Arial" w:cs="Arial"/>
                <w:sz w:val="24"/>
                <w:szCs w:val="24"/>
                <w:lang w:eastAsia="en-GB"/>
              </w:rPr>
              <w:t>*</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64</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n/a</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93.8%</w:t>
            </w:r>
          </w:p>
        </w:tc>
      </w:tr>
      <w:tr w:rsidR="003D2BCD" w:rsidTr="00FB6CB3">
        <w:tc>
          <w:tcPr>
            <w:tcW w:w="1951" w:type="dxa"/>
            <w:vAlign w:val="center"/>
          </w:tcPr>
          <w:p w:rsidR="003D2BCD" w:rsidRPr="00F837A5" w:rsidRDefault="003D2BCD" w:rsidP="00FB6CB3">
            <w:pPr>
              <w:rPr>
                <w:rFonts w:ascii="Arial" w:eastAsia="Times New Roman" w:hAnsi="Arial" w:cs="Arial"/>
                <w:sz w:val="24"/>
                <w:szCs w:val="24"/>
                <w:lang w:eastAsia="en-GB"/>
              </w:rPr>
            </w:pPr>
            <w:r w:rsidRPr="00F837A5">
              <w:rPr>
                <w:rFonts w:ascii="Arial" w:eastAsia="Times New Roman" w:hAnsi="Arial" w:cs="Arial"/>
                <w:sz w:val="24"/>
                <w:szCs w:val="24"/>
                <w:lang w:eastAsia="en-GB"/>
              </w:rPr>
              <w:t>Gypsy/Irish Traveller</w:t>
            </w:r>
            <w:r>
              <w:rPr>
                <w:rFonts w:ascii="Arial" w:eastAsia="Times New Roman" w:hAnsi="Arial" w:cs="Arial"/>
                <w:sz w:val="24"/>
                <w:szCs w:val="24"/>
                <w:lang w:eastAsia="en-GB"/>
              </w:rPr>
              <w:t>*</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134"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18</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n/a</w:t>
            </w:r>
          </w:p>
        </w:tc>
        <w:tc>
          <w:tcPr>
            <w:tcW w:w="1275" w:type="dxa"/>
            <w:vAlign w:val="center"/>
          </w:tcPr>
          <w:p w:rsidR="003D2BCD" w:rsidRPr="00F837A5" w:rsidRDefault="003D2BCD" w:rsidP="00FB6CB3">
            <w:pPr>
              <w:jc w:val="center"/>
              <w:rPr>
                <w:rFonts w:ascii="Arial" w:eastAsia="Times New Roman" w:hAnsi="Arial" w:cs="Arial"/>
                <w:sz w:val="24"/>
                <w:szCs w:val="24"/>
                <w:lang w:eastAsia="en-GB"/>
              </w:rPr>
            </w:pPr>
            <w:r w:rsidRPr="00F837A5">
              <w:rPr>
                <w:rFonts w:ascii="Arial" w:eastAsia="Times New Roman" w:hAnsi="Arial" w:cs="Arial"/>
                <w:sz w:val="24"/>
                <w:szCs w:val="24"/>
                <w:lang w:eastAsia="en-GB"/>
              </w:rPr>
              <w:t>83.3%</w:t>
            </w:r>
          </w:p>
        </w:tc>
      </w:tr>
      <w:tr w:rsidR="003D2BCD" w:rsidTr="00FB6CB3">
        <w:tc>
          <w:tcPr>
            <w:tcW w:w="1951" w:type="dxa"/>
            <w:vAlign w:val="center"/>
          </w:tcPr>
          <w:p w:rsidR="003D2BCD" w:rsidRPr="00F837A5" w:rsidRDefault="003D2BCD" w:rsidP="00FB6CB3">
            <w:pP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Grand Total</w:t>
            </w:r>
          </w:p>
        </w:tc>
        <w:tc>
          <w:tcPr>
            <w:tcW w:w="1134"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18,183</w:t>
            </w:r>
          </w:p>
        </w:tc>
        <w:tc>
          <w:tcPr>
            <w:tcW w:w="1134"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27,339</w:t>
            </w:r>
          </w:p>
        </w:tc>
        <w:tc>
          <w:tcPr>
            <w:tcW w:w="1276" w:type="dxa"/>
            <w:vMerge/>
          </w:tcPr>
          <w:p w:rsidR="003D2BCD" w:rsidRDefault="003D2BCD" w:rsidP="00FB6CB3">
            <w:pPr>
              <w:jc w:val="center"/>
              <w:rPr>
                <w:rFonts w:ascii="Arial" w:eastAsia="Times New Roman" w:hAnsi="Arial" w:cs="Arial"/>
                <w:sz w:val="24"/>
                <w:szCs w:val="24"/>
                <w:lang w:eastAsia="en-GB"/>
              </w:rPr>
            </w:pPr>
          </w:p>
        </w:tc>
        <w:tc>
          <w:tcPr>
            <w:tcW w:w="1276"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79.6%</w:t>
            </w:r>
          </w:p>
        </w:tc>
        <w:tc>
          <w:tcPr>
            <w:tcW w:w="1275" w:type="dxa"/>
            <w:vAlign w:val="center"/>
          </w:tcPr>
          <w:p w:rsidR="003D2BCD" w:rsidRPr="00F837A5" w:rsidRDefault="003D2BCD" w:rsidP="00FB6CB3">
            <w:pPr>
              <w:jc w:val="center"/>
              <w:rPr>
                <w:rFonts w:ascii="Arial" w:eastAsia="Times New Roman" w:hAnsi="Arial" w:cs="Arial"/>
                <w:b/>
                <w:bCs/>
                <w:color w:val="000000"/>
                <w:sz w:val="24"/>
                <w:szCs w:val="24"/>
                <w:lang w:eastAsia="en-GB"/>
              </w:rPr>
            </w:pPr>
            <w:r w:rsidRPr="00F837A5">
              <w:rPr>
                <w:rFonts w:ascii="Arial" w:eastAsia="Times New Roman" w:hAnsi="Arial" w:cs="Arial"/>
                <w:b/>
                <w:bCs/>
                <w:color w:val="000000"/>
                <w:sz w:val="24"/>
                <w:szCs w:val="24"/>
                <w:lang w:eastAsia="en-GB"/>
              </w:rPr>
              <w:t>83.0%</w:t>
            </w:r>
          </w:p>
        </w:tc>
      </w:tr>
    </w:tbl>
    <w:p w:rsidR="003D2BCD" w:rsidRPr="009A208B" w:rsidRDefault="003D2BCD" w:rsidP="003D2BCD">
      <w:pPr>
        <w:spacing w:after="0" w:line="240" w:lineRule="auto"/>
        <w:rPr>
          <w:rFonts w:ascii="Arial" w:eastAsia="Times New Roman" w:hAnsi="Arial" w:cs="Arial"/>
          <w:sz w:val="20"/>
          <w:szCs w:val="20"/>
          <w:lang w:eastAsia="en-GB"/>
        </w:rPr>
      </w:pPr>
      <w:r>
        <w:rPr>
          <w:rFonts w:ascii="Arial" w:eastAsia="Times New Roman" w:hAnsi="Arial" w:cs="Arial"/>
          <w:sz w:val="24"/>
          <w:szCs w:val="24"/>
          <w:lang w:eastAsia="en-GB"/>
        </w:rPr>
        <w:t>*</w:t>
      </w:r>
      <w:r w:rsidRPr="009A208B">
        <w:rPr>
          <w:rFonts w:ascii="Arial" w:eastAsia="Times New Roman" w:hAnsi="Arial" w:cs="Arial"/>
          <w:sz w:val="20"/>
          <w:szCs w:val="20"/>
          <w:lang w:eastAsia="en-GB"/>
        </w:rPr>
        <w:t>Data for these ethnic groups had not been monitored before academic year 2011/2012.</w:t>
      </w:r>
    </w:p>
    <w:p w:rsidR="008B12D4" w:rsidRDefault="008B12D4" w:rsidP="00D02EAA">
      <w:pPr>
        <w:spacing w:after="0"/>
        <w:rPr>
          <w:rFonts w:ascii="Arial" w:hAnsi="Arial" w:cs="Arial"/>
          <w:sz w:val="24"/>
          <w:szCs w:val="24"/>
        </w:rPr>
      </w:pPr>
    </w:p>
    <w:p w:rsidR="008B12D4" w:rsidRDefault="008B12D4" w:rsidP="00D02EAA">
      <w:pPr>
        <w:spacing w:after="0"/>
        <w:rPr>
          <w:rFonts w:ascii="Arial" w:hAnsi="Arial" w:cs="Arial"/>
          <w:sz w:val="24"/>
          <w:szCs w:val="24"/>
        </w:rPr>
      </w:pPr>
      <w:r w:rsidRPr="00F837A5">
        <w:rPr>
          <w:rFonts w:ascii="Arial" w:hAnsi="Arial" w:cs="Arial"/>
          <w:noProof/>
          <w:sz w:val="24"/>
          <w:szCs w:val="24"/>
          <w:lang w:eastAsia="en-GB"/>
        </w:rPr>
        <w:lastRenderedPageBreak/>
        <w:drawing>
          <wp:inline distT="0" distB="0" distL="0" distR="0" wp14:anchorId="57854EF4" wp14:editId="3032D011">
            <wp:extent cx="5700713" cy="3543300"/>
            <wp:effectExtent l="0" t="0" r="1460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02EAA" w:rsidRPr="00D02EAA" w:rsidRDefault="00D02EAA" w:rsidP="00D02EAA">
      <w:pPr>
        <w:spacing w:after="0"/>
        <w:rPr>
          <w:rFonts w:ascii="Arial" w:hAnsi="Arial" w:cs="Arial"/>
          <w:sz w:val="24"/>
          <w:szCs w:val="24"/>
        </w:rPr>
      </w:pPr>
      <w:r w:rsidRPr="00D02EAA">
        <w:rPr>
          <w:rFonts w:ascii="Arial" w:hAnsi="Arial" w:cs="Arial"/>
          <w:sz w:val="24"/>
          <w:szCs w:val="24"/>
        </w:rPr>
        <w:t>Success rates for Arab, Bangladeshi and African learners who attended the College during 2011</w:t>
      </w:r>
      <w:r>
        <w:rPr>
          <w:rFonts w:ascii="Arial" w:hAnsi="Arial" w:cs="Arial"/>
          <w:sz w:val="24"/>
          <w:szCs w:val="24"/>
        </w:rPr>
        <w:t xml:space="preserve"> </w:t>
      </w:r>
      <w:r w:rsidRPr="00D02EAA">
        <w:rPr>
          <w:rFonts w:ascii="Arial" w:hAnsi="Arial" w:cs="Arial"/>
          <w:sz w:val="24"/>
          <w:szCs w:val="24"/>
        </w:rPr>
        <w:t>-</w:t>
      </w:r>
      <w:r>
        <w:rPr>
          <w:rFonts w:ascii="Arial" w:hAnsi="Arial" w:cs="Arial"/>
          <w:sz w:val="24"/>
          <w:szCs w:val="24"/>
        </w:rPr>
        <w:t xml:space="preserve"> </w:t>
      </w:r>
      <w:r w:rsidRPr="00D02EAA">
        <w:rPr>
          <w:rFonts w:ascii="Arial" w:hAnsi="Arial" w:cs="Arial"/>
          <w:sz w:val="24"/>
          <w:szCs w:val="24"/>
        </w:rPr>
        <w:t>2012 are very good</w:t>
      </w:r>
      <w:r w:rsidR="00AF0A87">
        <w:rPr>
          <w:rFonts w:ascii="Arial" w:hAnsi="Arial" w:cs="Arial"/>
          <w:sz w:val="24"/>
          <w:szCs w:val="24"/>
        </w:rPr>
        <w:t xml:space="preserve"> and have improved considerable</w:t>
      </w:r>
      <w:r w:rsidRPr="00D02EAA">
        <w:rPr>
          <w:rFonts w:ascii="Arial" w:hAnsi="Arial" w:cs="Arial"/>
          <w:sz w:val="24"/>
          <w:szCs w:val="24"/>
        </w:rPr>
        <w:t xml:space="preserve">.  </w:t>
      </w:r>
      <w:r>
        <w:rPr>
          <w:rFonts w:ascii="Arial" w:hAnsi="Arial" w:cs="Arial"/>
          <w:sz w:val="24"/>
          <w:szCs w:val="24"/>
        </w:rPr>
        <w:t xml:space="preserve">Success rates for </w:t>
      </w:r>
      <w:r w:rsidRPr="00D02EAA">
        <w:rPr>
          <w:rFonts w:ascii="Arial" w:hAnsi="Arial" w:cs="Arial"/>
          <w:sz w:val="24"/>
          <w:szCs w:val="24"/>
        </w:rPr>
        <w:t>Bangladeshi learners have increased by 17% since 2010</w:t>
      </w:r>
      <w:r>
        <w:rPr>
          <w:rFonts w:ascii="Arial" w:hAnsi="Arial" w:cs="Arial"/>
          <w:sz w:val="24"/>
          <w:szCs w:val="24"/>
        </w:rPr>
        <w:t xml:space="preserve"> </w:t>
      </w:r>
      <w:r w:rsidRPr="00D02EAA">
        <w:rPr>
          <w:rFonts w:ascii="Arial" w:hAnsi="Arial" w:cs="Arial"/>
          <w:sz w:val="24"/>
          <w:szCs w:val="24"/>
        </w:rPr>
        <w:t>-</w:t>
      </w:r>
      <w:r>
        <w:rPr>
          <w:rFonts w:ascii="Arial" w:hAnsi="Arial" w:cs="Arial"/>
          <w:sz w:val="24"/>
          <w:szCs w:val="24"/>
        </w:rPr>
        <w:t xml:space="preserve"> </w:t>
      </w:r>
      <w:r w:rsidRPr="00D02EAA">
        <w:rPr>
          <w:rFonts w:ascii="Arial" w:hAnsi="Arial" w:cs="Arial"/>
          <w:sz w:val="24"/>
          <w:szCs w:val="24"/>
        </w:rPr>
        <w:t>2011 and by 20% for African learners</w:t>
      </w:r>
      <w:r>
        <w:rPr>
          <w:rFonts w:ascii="Arial" w:hAnsi="Arial" w:cs="Arial"/>
          <w:sz w:val="24"/>
          <w:szCs w:val="24"/>
        </w:rPr>
        <w:t xml:space="preserve">, taking both groups </w:t>
      </w:r>
      <w:r w:rsidRPr="00D02EAA">
        <w:rPr>
          <w:rFonts w:ascii="Arial" w:hAnsi="Arial" w:cs="Arial"/>
          <w:sz w:val="24"/>
          <w:szCs w:val="24"/>
        </w:rPr>
        <w:t xml:space="preserve">above the College and National </w:t>
      </w:r>
      <w:r w:rsidR="00AF0A87">
        <w:rPr>
          <w:rFonts w:ascii="Arial" w:hAnsi="Arial" w:cs="Arial"/>
          <w:sz w:val="24"/>
          <w:szCs w:val="24"/>
        </w:rPr>
        <w:t>A</w:t>
      </w:r>
      <w:r w:rsidRPr="00D02EAA">
        <w:rPr>
          <w:rFonts w:ascii="Arial" w:hAnsi="Arial" w:cs="Arial"/>
          <w:sz w:val="24"/>
          <w:szCs w:val="24"/>
        </w:rPr>
        <w:t xml:space="preserve">verage.  </w:t>
      </w:r>
    </w:p>
    <w:p w:rsidR="00D02EAA" w:rsidRDefault="00D02EAA" w:rsidP="00D02EAA">
      <w:pPr>
        <w:spacing w:after="0"/>
        <w:rPr>
          <w:rFonts w:ascii="Arial" w:hAnsi="Arial" w:cs="Arial"/>
          <w:sz w:val="24"/>
          <w:szCs w:val="24"/>
        </w:rPr>
      </w:pPr>
    </w:p>
    <w:p w:rsidR="003D2BCD" w:rsidRDefault="00D02EAA" w:rsidP="00D02EAA">
      <w:pPr>
        <w:spacing w:after="0"/>
        <w:rPr>
          <w:rFonts w:ascii="Arial" w:hAnsi="Arial" w:cs="Arial"/>
          <w:sz w:val="24"/>
          <w:szCs w:val="24"/>
        </w:rPr>
      </w:pPr>
      <w:r w:rsidRPr="00D02EAA">
        <w:rPr>
          <w:rFonts w:ascii="Arial" w:hAnsi="Arial" w:cs="Arial"/>
          <w:sz w:val="24"/>
          <w:szCs w:val="24"/>
        </w:rPr>
        <w:t>A significant number of the Chinese and Other Mixed learners are located in the School of Lifelong Learning and are enrolled on ESOL courses. The National Success Rate for ESOL is 74%; and so on a comparative basis the Success Rates for these groups of learners at 74% and 70% respectively is broadly on a par with the National Average.</w:t>
      </w:r>
    </w:p>
    <w:p w:rsidR="00460E31" w:rsidRDefault="00460E31" w:rsidP="00DA01A0">
      <w:pPr>
        <w:spacing w:after="0"/>
        <w:rPr>
          <w:rFonts w:ascii="Arial" w:hAnsi="Arial" w:cs="Arial"/>
          <w:sz w:val="24"/>
          <w:szCs w:val="24"/>
        </w:rPr>
      </w:pPr>
    </w:p>
    <w:p w:rsidR="00B74048" w:rsidRDefault="00B74048">
      <w:pPr>
        <w:rPr>
          <w:rFonts w:ascii="Arial" w:hAnsi="Arial" w:cs="Arial"/>
          <w:sz w:val="24"/>
          <w:szCs w:val="24"/>
        </w:rPr>
      </w:pPr>
      <w:r>
        <w:rPr>
          <w:rFonts w:ascii="Arial" w:hAnsi="Arial" w:cs="Arial"/>
          <w:sz w:val="24"/>
          <w:szCs w:val="24"/>
        </w:rPr>
        <w:br w:type="page"/>
      </w:r>
    </w:p>
    <w:p w:rsidR="008B12D4" w:rsidRDefault="008B12D4" w:rsidP="00DA01A0">
      <w:pPr>
        <w:spacing w:after="0"/>
        <w:rPr>
          <w:rFonts w:ascii="Arial" w:hAnsi="Arial" w:cs="Arial"/>
          <w:sz w:val="24"/>
          <w:szCs w:val="24"/>
        </w:rPr>
      </w:pPr>
    </w:p>
    <w:p w:rsidR="00617AD8" w:rsidRPr="00BC6A21" w:rsidRDefault="00B31A87" w:rsidP="00B31A87">
      <w:pPr>
        <w:spacing w:after="0"/>
        <w:rPr>
          <w:rFonts w:ascii="Arial" w:hAnsi="Arial" w:cs="Arial"/>
          <w:b/>
          <w:sz w:val="24"/>
          <w:szCs w:val="24"/>
        </w:rPr>
      </w:pPr>
      <w:r w:rsidRPr="00BC6A21">
        <w:rPr>
          <w:rFonts w:ascii="Arial" w:hAnsi="Arial" w:cs="Arial"/>
          <w:b/>
          <w:sz w:val="24"/>
          <w:szCs w:val="24"/>
        </w:rPr>
        <w:t>4.  Actions of the EDI Team during 2012</w:t>
      </w:r>
    </w:p>
    <w:p w:rsidR="00B31A87" w:rsidRDefault="00B31A87" w:rsidP="00662A33">
      <w:pPr>
        <w:spacing w:after="0"/>
        <w:rPr>
          <w:rFonts w:ascii="Arial" w:hAnsi="Arial" w:cs="Arial"/>
          <w:sz w:val="24"/>
          <w:szCs w:val="24"/>
        </w:rPr>
      </w:pPr>
    </w:p>
    <w:p w:rsidR="00662A33" w:rsidRPr="009B0D63" w:rsidRDefault="00BC6A21" w:rsidP="00662A33">
      <w:pPr>
        <w:spacing w:after="0"/>
        <w:rPr>
          <w:rFonts w:ascii="Arial" w:hAnsi="Arial" w:cs="Arial"/>
          <w:sz w:val="24"/>
          <w:szCs w:val="24"/>
        </w:rPr>
      </w:pPr>
      <w:r>
        <w:rPr>
          <w:rFonts w:ascii="Arial" w:hAnsi="Arial" w:cs="Arial"/>
          <w:sz w:val="24"/>
          <w:szCs w:val="24"/>
        </w:rPr>
        <w:t xml:space="preserve">The </w:t>
      </w:r>
      <w:r w:rsidR="00617AD8">
        <w:rPr>
          <w:rFonts w:ascii="Arial" w:hAnsi="Arial" w:cs="Arial"/>
          <w:sz w:val="24"/>
          <w:szCs w:val="24"/>
        </w:rPr>
        <w:t>focus</w:t>
      </w:r>
      <w:r>
        <w:rPr>
          <w:rFonts w:ascii="Arial" w:hAnsi="Arial" w:cs="Arial"/>
          <w:sz w:val="24"/>
          <w:szCs w:val="24"/>
        </w:rPr>
        <w:t xml:space="preserve"> for the E</w:t>
      </w:r>
      <w:r w:rsidR="00AF0A87">
        <w:rPr>
          <w:rFonts w:ascii="Arial" w:hAnsi="Arial" w:cs="Arial"/>
          <w:sz w:val="24"/>
          <w:szCs w:val="24"/>
        </w:rPr>
        <w:t>DI</w:t>
      </w:r>
      <w:r>
        <w:rPr>
          <w:rFonts w:ascii="Arial" w:hAnsi="Arial" w:cs="Arial"/>
          <w:sz w:val="24"/>
          <w:szCs w:val="24"/>
        </w:rPr>
        <w:t xml:space="preserve"> Team ha</w:t>
      </w:r>
      <w:r w:rsidR="00AF0A87">
        <w:rPr>
          <w:rFonts w:ascii="Arial" w:hAnsi="Arial" w:cs="Arial"/>
          <w:sz w:val="24"/>
          <w:szCs w:val="24"/>
        </w:rPr>
        <w:t>s</w:t>
      </w:r>
      <w:r>
        <w:rPr>
          <w:rFonts w:ascii="Arial" w:hAnsi="Arial" w:cs="Arial"/>
          <w:sz w:val="24"/>
          <w:szCs w:val="24"/>
        </w:rPr>
        <w:t xml:space="preserve"> and continues to be</w:t>
      </w:r>
      <w:r w:rsidR="00617AD8">
        <w:rPr>
          <w:rFonts w:ascii="Arial" w:hAnsi="Arial" w:cs="Arial"/>
          <w:sz w:val="24"/>
          <w:szCs w:val="24"/>
        </w:rPr>
        <w:t xml:space="preserve"> on </w:t>
      </w:r>
      <w:r w:rsidR="00CF4199" w:rsidRPr="009B0D63">
        <w:rPr>
          <w:rFonts w:ascii="Arial" w:hAnsi="Arial" w:cs="Arial"/>
          <w:sz w:val="24"/>
          <w:szCs w:val="24"/>
        </w:rPr>
        <w:t>raising awareness of EDI matters, maintaining legislative compliance and collaborative working strategies to engage staff, learners and the local community with the college’s commitment to promoting equality, challenging discrimination and celebrating diversity.  The EDI Team have been working to achieve this in a number of ways</w:t>
      </w:r>
      <w:r>
        <w:rPr>
          <w:rFonts w:ascii="Arial" w:hAnsi="Arial" w:cs="Arial"/>
          <w:sz w:val="24"/>
          <w:szCs w:val="24"/>
        </w:rPr>
        <w:t>.</w:t>
      </w:r>
    </w:p>
    <w:p w:rsidR="00CF4199" w:rsidRDefault="00CF4199" w:rsidP="00662A33">
      <w:pPr>
        <w:spacing w:after="0"/>
        <w:rPr>
          <w:rFonts w:ascii="Arial" w:hAnsi="Arial" w:cs="Arial"/>
          <w:sz w:val="24"/>
          <w:szCs w:val="24"/>
        </w:rPr>
      </w:pPr>
    </w:p>
    <w:p w:rsidR="00C21F62" w:rsidRDefault="00C21F62" w:rsidP="00F91E98">
      <w:pPr>
        <w:spacing w:after="0"/>
        <w:rPr>
          <w:rFonts w:ascii="Arial" w:hAnsi="Arial" w:cs="Arial"/>
          <w:sz w:val="24"/>
          <w:szCs w:val="24"/>
        </w:rPr>
      </w:pPr>
    </w:p>
    <w:p w:rsidR="00F91E98" w:rsidRPr="00C21F62" w:rsidRDefault="00F91E98" w:rsidP="00F91E98">
      <w:pPr>
        <w:spacing w:after="0"/>
        <w:rPr>
          <w:rFonts w:ascii="Arial" w:hAnsi="Arial" w:cs="Arial"/>
          <w:b/>
          <w:sz w:val="24"/>
          <w:szCs w:val="24"/>
        </w:rPr>
      </w:pPr>
      <w:proofErr w:type="gramStart"/>
      <w:r w:rsidRPr="00C21F62">
        <w:rPr>
          <w:rFonts w:ascii="Arial" w:hAnsi="Arial" w:cs="Arial"/>
          <w:b/>
          <w:sz w:val="24"/>
          <w:szCs w:val="24"/>
        </w:rPr>
        <w:t>4</w:t>
      </w:r>
      <w:r w:rsidR="00AF0A87">
        <w:rPr>
          <w:rFonts w:ascii="Arial" w:hAnsi="Arial" w:cs="Arial"/>
          <w:b/>
          <w:sz w:val="24"/>
          <w:szCs w:val="24"/>
        </w:rPr>
        <w:t>a</w:t>
      </w:r>
      <w:r w:rsidRPr="00C21F62">
        <w:rPr>
          <w:rFonts w:ascii="Arial" w:hAnsi="Arial" w:cs="Arial"/>
          <w:b/>
          <w:sz w:val="24"/>
          <w:szCs w:val="24"/>
        </w:rPr>
        <w:t xml:space="preserve">  Policy</w:t>
      </w:r>
      <w:proofErr w:type="gramEnd"/>
      <w:r w:rsidRPr="00C21F62">
        <w:rPr>
          <w:rFonts w:ascii="Arial" w:hAnsi="Arial" w:cs="Arial"/>
          <w:b/>
          <w:sz w:val="24"/>
          <w:szCs w:val="24"/>
        </w:rPr>
        <w:t xml:space="preserve"> Review </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All EDI Policies have been reviewed and a new Single Equality Policy is being developed to incorporate all key legislative requirements of the Equality Act 2010 on the academic and business functions of the college as an employer and FE provider, and will incorporate key objectives set against the Public Sector Single Equality Duty.</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SNCAT EDI Policy</w:t>
      </w:r>
    </w:p>
    <w:p w:rsidR="00F91E98" w:rsidRPr="00F91E98" w:rsidRDefault="00F91E98" w:rsidP="00F91E98">
      <w:pPr>
        <w:spacing w:after="0"/>
        <w:rPr>
          <w:rFonts w:ascii="Arial" w:hAnsi="Arial" w:cs="Arial"/>
          <w:sz w:val="24"/>
          <w:szCs w:val="24"/>
        </w:rPr>
      </w:pPr>
      <w:r w:rsidRPr="00F91E98">
        <w:rPr>
          <w:rFonts w:ascii="Arial" w:hAnsi="Arial" w:cs="Arial"/>
          <w:sz w:val="24"/>
          <w:szCs w:val="24"/>
        </w:rPr>
        <w:t xml:space="preserve">A new Single Equality Policy is also being produced for the College as an Academy sponsor, for the Academy Trust </w:t>
      </w:r>
      <w:r w:rsidR="00AF0A87">
        <w:rPr>
          <w:rFonts w:ascii="Arial" w:hAnsi="Arial" w:cs="Arial"/>
          <w:sz w:val="24"/>
          <w:szCs w:val="24"/>
        </w:rPr>
        <w:t>in</w:t>
      </w:r>
      <w:r w:rsidR="00AF0A87" w:rsidRPr="00F91E98">
        <w:rPr>
          <w:rFonts w:ascii="Arial" w:hAnsi="Arial" w:cs="Arial"/>
          <w:sz w:val="24"/>
          <w:szCs w:val="24"/>
        </w:rPr>
        <w:t xml:space="preserve"> </w:t>
      </w:r>
      <w:r w:rsidRPr="00F91E98">
        <w:rPr>
          <w:rFonts w:ascii="Arial" w:hAnsi="Arial" w:cs="Arial"/>
          <w:sz w:val="24"/>
          <w:szCs w:val="24"/>
        </w:rPr>
        <w:t xml:space="preserve">January 2013.  </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 xml:space="preserve">Development of ‘Easy Read’ formats </w:t>
      </w:r>
    </w:p>
    <w:p w:rsidR="00F91E98" w:rsidRDefault="00F91E98" w:rsidP="00F91E98">
      <w:pPr>
        <w:spacing w:after="0"/>
        <w:rPr>
          <w:rFonts w:ascii="Arial" w:hAnsi="Arial" w:cs="Arial"/>
          <w:sz w:val="24"/>
          <w:szCs w:val="24"/>
        </w:rPr>
      </w:pPr>
      <w:r w:rsidRPr="00F91E98">
        <w:rPr>
          <w:rFonts w:ascii="Arial" w:hAnsi="Arial" w:cs="Arial"/>
          <w:sz w:val="24"/>
          <w:szCs w:val="24"/>
        </w:rPr>
        <w:t xml:space="preserve">‘Easy Read’ versions of college </w:t>
      </w:r>
      <w:r w:rsidR="00B74048" w:rsidRPr="00F91E98">
        <w:rPr>
          <w:rFonts w:ascii="Arial" w:hAnsi="Arial" w:cs="Arial"/>
          <w:sz w:val="24"/>
          <w:szCs w:val="24"/>
        </w:rPr>
        <w:t>policies</w:t>
      </w:r>
      <w:r w:rsidRPr="00F91E98">
        <w:rPr>
          <w:rFonts w:ascii="Arial" w:hAnsi="Arial" w:cs="Arial"/>
          <w:sz w:val="24"/>
          <w:szCs w:val="24"/>
        </w:rPr>
        <w:t xml:space="preserve"> and procedures are being developed </w:t>
      </w:r>
      <w:r w:rsidR="00AF0A87">
        <w:rPr>
          <w:rFonts w:ascii="Arial" w:hAnsi="Arial" w:cs="Arial"/>
          <w:sz w:val="24"/>
          <w:szCs w:val="24"/>
        </w:rPr>
        <w:t>to improve the</w:t>
      </w:r>
      <w:r w:rsidR="00AF0A87" w:rsidRPr="00F91E98">
        <w:rPr>
          <w:rFonts w:ascii="Arial" w:hAnsi="Arial" w:cs="Arial"/>
          <w:sz w:val="24"/>
          <w:szCs w:val="24"/>
        </w:rPr>
        <w:t xml:space="preserve"> </w:t>
      </w:r>
      <w:r w:rsidRPr="00F91E98">
        <w:rPr>
          <w:rFonts w:ascii="Arial" w:hAnsi="Arial" w:cs="Arial"/>
          <w:sz w:val="24"/>
          <w:szCs w:val="24"/>
        </w:rPr>
        <w:t>accessib</w:t>
      </w:r>
      <w:r w:rsidR="00AF0A87">
        <w:rPr>
          <w:rFonts w:ascii="Arial" w:hAnsi="Arial" w:cs="Arial"/>
          <w:sz w:val="24"/>
          <w:szCs w:val="24"/>
        </w:rPr>
        <w:t>ility of written</w:t>
      </w:r>
      <w:r w:rsidRPr="00F91E98">
        <w:rPr>
          <w:rFonts w:ascii="Arial" w:hAnsi="Arial" w:cs="Arial"/>
          <w:sz w:val="24"/>
          <w:szCs w:val="24"/>
        </w:rPr>
        <w:t xml:space="preserve"> materials using ‘Photo Symbols’ as communication tools, for all stakeholders.  Consultation has been carried out with learners and staff from college LLDD areas</w:t>
      </w:r>
      <w:r w:rsidR="00B74048">
        <w:rPr>
          <w:rFonts w:ascii="Arial" w:hAnsi="Arial" w:cs="Arial"/>
          <w:sz w:val="24"/>
          <w:szCs w:val="24"/>
        </w:rPr>
        <w:t xml:space="preserve"> </w:t>
      </w:r>
      <w:r w:rsidR="00BF2244">
        <w:rPr>
          <w:rFonts w:ascii="Arial" w:hAnsi="Arial" w:cs="Arial"/>
          <w:sz w:val="24"/>
          <w:szCs w:val="24"/>
        </w:rPr>
        <w:t>in particular to ensure that these improve the methods of communication</w:t>
      </w:r>
      <w:r w:rsidRPr="00F91E98">
        <w:rPr>
          <w:rFonts w:ascii="Arial" w:hAnsi="Arial" w:cs="Arial"/>
          <w:sz w:val="24"/>
          <w:szCs w:val="24"/>
        </w:rPr>
        <w:t>.</w:t>
      </w:r>
    </w:p>
    <w:p w:rsidR="00F91E98" w:rsidRDefault="00F91E98" w:rsidP="00662A33">
      <w:pPr>
        <w:spacing w:after="0"/>
        <w:rPr>
          <w:rFonts w:ascii="Arial" w:hAnsi="Arial" w:cs="Arial"/>
          <w:sz w:val="24"/>
          <w:szCs w:val="24"/>
        </w:rPr>
      </w:pPr>
    </w:p>
    <w:p w:rsidR="00AB53F3" w:rsidRPr="00C21F62" w:rsidRDefault="00870F53" w:rsidP="00BC6A21">
      <w:pPr>
        <w:spacing w:after="0"/>
        <w:rPr>
          <w:rFonts w:ascii="Arial" w:hAnsi="Arial" w:cs="Arial"/>
          <w:b/>
          <w:sz w:val="24"/>
          <w:szCs w:val="24"/>
        </w:rPr>
      </w:pPr>
      <w:r w:rsidRPr="00C21F62">
        <w:rPr>
          <w:rFonts w:ascii="Arial" w:hAnsi="Arial" w:cs="Arial"/>
          <w:b/>
          <w:sz w:val="24"/>
          <w:szCs w:val="24"/>
        </w:rPr>
        <w:t>4</w:t>
      </w:r>
      <w:r w:rsidR="00F91E98" w:rsidRPr="00C21F62">
        <w:rPr>
          <w:rFonts w:ascii="Arial" w:hAnsi="Arial" w:cs="Arial"/>
          <w:b/>
          <w:sz w:val="24"/>
          <w:szCs w:val="24"/>
        </w:rPr>
        <w:t>b</w:t>
      </w:r>
      <w:proofErr w:type="gramStart"/>
      <w:r w:rsidRPr="00C21F62">
        <w:rPr>
          <w:rFonts w:ascii="Arial" w:hAnsi="Arial" w:cs="Arial"/>
          <w:b/>
          <w:sz w:val="24"/>
          <w:szCs w:val="24"/>
        </w:rPr>
        <w:t xml:space="preserve">.  </w:t>
      </w:r>
      <w:r w:rsidR="00FE69CE" w:rsidRPr="00C21F62">
        <w:rPr>
          <w:rFonts w:ascii="Arial" w:hAnsi="Arial" w:cs="Arial"/>
          <w:b/>
          <w:sz w:val="24"/>
          <w:szCs w:val="24"/>
        </w:rPr>
        <w:t>Promoting</w:t>
      </w:r>
      <w:proofErr w:type="gramEnd"/>
      <w:r w:rsidR="00FE69CE" w:rsidRPr="00C21F62">
        <w:rPr>
          <w:rFonts w:ascii="Arial" w:hAnsi="Arial" w:cs="Arial"/>
          <w:b/>
          <w:sz w:val="24"/>
          <w:szCs w:val="24"/>
        </w:rPr>
        <w:t xml:space="preserve"> EDI</w:t>
      </w:r>
    </w:p>
    <w:p w:rsidR="00C21F62" w:rsidRDefault="00C21F62" w:rsidP="00662A33">
      <w:pPr>
        <w:spacing w:after="0"/>
        <w:rPr>
          <w:rFonts w:ascii="Arial" w:hAnsi="Arial" w:cs="Arial"/>
          <w:sz w:val="24"/>
          <w:szCs w:val="24"/>
        </w:rPr>
      </w:pPr>
    </w:p>
    <w:p w:rsidR="00C33D6A" w:rsidRPr="009B0D63" w:rsidRDefault="00AB53F3" w:rsidP="00662A33">
      <w:pPr>
        <w:spacing w:after="0"/>
        <w:rPr>
          <w:rFonts w:ascii="Arial" w:hAnsi="Arial" w:cs="Arial"/>
          <w:sz w:val="24"/>
          <w:szCs w:val="24"/>
        </w:rPr>
      </w:pPr>
      <w:r w:rsidRPr="009B0D63">
        <w:rPr>
          <w:rFonts w:ascii="Arial" w:hAnsi="Arial" w:cs="Arial"/>
          <w:sz w:val="24"/>
          <w:szCs w:val="24"/>
        </w:rPr>
        <w:t>The EDI Team ha</w:t>
      </w:r>
      <w:r w:rsidR="00CF4199" w:rsidRPr="009B0D63">
        <w:rPr>
          <w:rFonts w:ascii="Arial" w:hAnsi="Arial" w:cs="Arial"/>
          <w:sz w:val="24"/>
          <w:szCs w:val="24"/>
        </w:rPr>
        <w:t>s</w:t>
      </w:r>
      <w:r w:rsidR="00C33D6A" w:rsidRPr="009B0D63">
        <w:rPr>
          <w:rFonts w:ascii="Arial" w:hAnsi="Arial" w:cs="Arial"/>
          <w:sz w:val="24"/>
          <w:szCs w:val="24"/>
        </w:rPr>
        <w:t xml:space="preserve"> a</w:t>
      </w:r>
      <w:r w:rsidR="00662A33" w:rsidRPr="009B0D63">
        <w:rPr>
          <w:rFonts w:ascii="Arial" w:hAnsi="Arial" w:cs="Arial"/>
          <w:sz w:val="24"/>
          <w:szCs w:val="24"/>
        </w:rPr>
        <w:t>dopt</w:t>
      </w:r>
      <w:r w:rsidR="00CF4199" w:rsidRPr="009B0D63">
        <w:rPr>
          <w:rFonts w:ascii="Arial" w:hAnsi="Arial" w:cs="Arial"/>
          <w:sz w:val="24"/>
          <w:szCs w:val="24"/>
        </w:rPr>
        <w:t>ed</w:t>
      </w:r>
      <w:r w:rsidR="00662A33" w:rsidRPr="009B0D63">
        <w:rPr>
          <w:rFonts w:ascii="Arial" w:hAnsi="Arial" w:cs="Arial"/>
          <w:sz w:val="24"/>
          <w:szCs w:val="24"/>
        </w:rPr>
        <w:t xml:space="preserve"> a</w:t>
      </w:r>
      <w:r w:rsidR="00C33D6A" w:rsidRPr="009B0D63">
        <w:rPr>
          <w:rFonts w:ascii="Arial" w:hAnsi="Arial" w:cs="Arial"/>
          <w:sz w:val="24"/>
          <w:szCs w:val="24"/>
        </w:rPr>
        <w:t xml:space="preserve"> creative and </w:t>
      </w:r>
      <w:r w:rsidR="00662A33" w:rsidRPr="009B0D63">
        <w:rPr>
          <w:rFonts w:ascii="Arial" w:hAnsi="Arial" w:cs="Arial"/>
          <w:sz w:val="24"/>
          <w:szCs w:val="24"/>
        </w:rPr>
        <w:t>hands on approach to the dissemination and embedding of the EDI message through learners and staff</w:t>
      </w:r>
      <w:r w:rsidRPr="009B0D63">
        <w:rPr>
          <w:rFonts w:ascii="Arial" w:hAnsi="Arial" w:cs="Arial"/>
          <w:sz w:val="24"/>
          <w:szCs w:val="24"/>
        </w:rPr>
        <w:t xml:space="preserve"> </w:t>
      </w:r>
      <w:r w:rsidR="00BC6A21">
        <w:rPr>
          <w:rFonts w:ascii="Arial" w:hAnsi="Arial" w:cs="Arial"/>
          <w:sz w:val="24"/>
          <w:szCs w:val="24"/>
        </w:rPr>
        <w:t>via:</w:t>
      </w:r>
      <w:r w:rsidRPr="009B0D63">
        <w:rPr>
          <w:rFonts w:ascii="Arial" w:hAnsi="Arial" w:cs="Arial"/>
          <w:sz w:val="24"/>
          <w:szCs w:val="24"/>
        </w:rPr>
        <w:t xml:space="preserve">  </w:t>
      </w:r>
      <w:r w:rsidR="00662A33" w:rsidRPr="009B0D63">
        <w:rPr>
          <w:rFonts w:ascii="Arial" w:hAnsi="Arial" w:cs="Arial"/>
          <w:sz w:val="24"/>
          <w:szCs w:val="24"/>
        </w:rPr>
        <w:t xml:space="preserve">  </w:t>
      </w:r>
    </w:p>
    <w:p w:rsidR="00BC6A21" w:rsidRDefault="00BC6A21" w:rsidP="00662A33">
      <w:pPr>
        <w:spacing w:after="0"/>
        <w:rPr>
          <w:rFonts w:ascii="Arial" w:hAnsi="Arial" w:cs="Arial"/>
          <w:sz w:val="24"/>
          <w:szCs w:val="24"/>
        </w:rPr>
      </w:pPr>
    </w:p>
    <w:p w:rsidR="00BC6A21" w:rsidRPr="00870F53" w:rsidRDefault="00BC6A21" w:rsidP="00870F53">
      <w:pPr>
        <w:pStyle w:val="ListParagraph"/>
        <w:numPr>
          <w:ilvl w:val="0"/>
          <w:numId w:val="27"/>
        </w:numPr>
        <w:spacing w:after="0"/>
        <w:rPr>
          <w:rFonts w:ascii="Arial" w:hAnsi="Arial" w:cs="Arial"/>
          <w:sz w:val="24"/>
          <w:szCs w:val="24"/>
        </w:rPr>
      </w:pPr>
      <w:proofErr w:type="spellStart"/>
      <w:r w:rsidRPr="00870F53">
        <w:rPr>
          <w:rFonts w:ascii="Arial" w:hAnsi="Arial" w:cs="Arial"/>
          <w:sz w:val="24"/>
          <w:szCs w:val="24"/>
        </w:rPr>
        <w:t>StaffNet</w:t>
      </w:r>
      <w:proofErr w:type="spellEnd"/>
      <w:r w:rsidRPr="00870F53">
        <w:rPr>
          <w:rFonts w:ascii="Arial" w:hAnsi="Arial" w:cs="Arial"/>
          <w:sz w:val="24"/>
          <w:szCs w:val="24"/>
        </w:rPr>
        <w:t xml:space="preserve"> and </w:t>
      </w:r>
      <w:proofErr w:type="spellStart"/>
      <w:r w:rsidRPr="00870F53">
        <w:rPr>
          <w:rFonts w:ascii="Arial" w:hAnsi="Arial" w:cs="Arial"/>
          <w:sz w:val="24"/>
          <w:szCs w:val="24"/>
        </w:rPr>
        <w:t>StudentNet</w:t>
      </w:r>
      <w:proofErr w:type="spellEnd"/>
      <w:r w:rsidRPr="00870F53">
        <w:rPr>
          <w:rFonts w:ascii="Arial" w:hAnsi="Arial" w:cs="Arial"/>
          <w:sz w:val="24"/>
          <w:szCs w:val="24"/>
        </w:rPr>
        <w:t xml:space="preserve"> </w:t>
      </w:r>
    </w:p>
    <w:p w:rsidR="00BC6A21" w:rsidRPr="00870F53" w:rsidRDefault="00BC6A21" w:rsidP="00870F53">
      <w:pPr>
        <w:pStyle w:val="ListParagraph"/>
        <w:spacing w:after="0"/>
        <w:rPr>
          <w:rFonts w:ascii="Arial" w:hAnsi="Arial" w:cs="Arial"/>
          <w:sz w:val="24"/>
          <w:szCs w:val="24"/>
        </w:rPr>
      </w:pPr>
      <w:r w:rsidRPr="00870F53">
        <w:rPr>
          <w:rFonts w:ascii="Arial" w:hAnsi="Arial" w:cs="Arial"/>
          <w:sz w:val="24"/>
          <w:szCs w:val="24"/>
        </w:rPr>
        <w:t xml:space="preserve">EDI sections </w:t>
      </w:r>
      <w:r w:rsidR="00BF2244">
        <w:rPr>
          <w:rFonts w:ascii="Arial" w:hAnsi="Arial" w:cs="Arial"/>
          <w:sz w:val="24"/>
          <w:szCs w:val="24"/>
        </w:rPr>
        <w:t xml:space="preserve">have been </w:t>
      </w:r>
      <w:r w:rsidRPr="00870F53">
        <w:rPr>
          <w:rFonts w:ascii="Arial" w:hAnsi="Arial" w:cs="Arial"/>
          <w:sz w:val="24"/>
          <w:szCs w:val="24"/>
        </w:rPr>
        <w:t>created containing news updates, teaching and learning resources, links to websites</w:t>
      </w:r>
      <w:r w:rsidR="00FB6CB3" w:rsidRPr="00870F53">
        <w:rPr>
          <w:rFonts w:ascii="Arial" w:hAnsi="Arial" w:cs="Arial"/>
          <w:sz w:val="24"/>
          <w:szCs w:val="24"/>
        </w:rPr>
        <w:t xml:space="preserve"> and a wide variety of engaging activit</w:t>
      </w:r>
      <w:r w:rsidR="00B74048">
        <w:rPr>
          <w:rFonts w:ascii="Arial" w:hAnsi="Arial" w:cs="Arial"/>
          <w:sz w:val="24"/>
          <w:szCs w:val="24"/>
        </w:rPr>
        <w:t>i</w:t>
      </w:r>
      <w:r w:rsidR="00FB6CB3" w:rsidRPr="00870F53">
        <w:rPr>
          <w:rFonts w:ascii="Arial" w:hAnsi="Arial" w:cs="Arial"/>
          <w:sz w:val="24"/>
          <w:szCs w:val="24"/>
        </w:rPr>
        <w:t>es for use in curriculum areas and for personal enrichment</w:t>
      </w:r>
      <w:r w:rsidRPr="00870F53">
        <w:rPr>
          <w:rFonts w:ascii="Arial" w:hAnsi="Arial" w:cs="Arial"/>
          <w:sz w:val="24"/>
          <w:szCs w:val="24"/>
        </w:rPr>
        <w:t xml:space="preserve">.  </w:t>
      </w:r>
    </w:p>
    <w:p w:rsidR="00BC6A21" w:rsidRDefault="00BC6A21" w:rsidP="0013593F">
      <w:pPr>
        <w:spacing w:after="0"/>
        <w:rPr>
          <w:rFonts w:ascii="Arial" w:hAnsi="Arial" w:cs="Arial"/>
          <w:sz w:val="24"/>
          <w:szCs w:val="24"/>
        </w:rPr>
      </w:pPr>
    </w:p>
    <w:p w:rsidR="00FB6CB3" w:rsidRPr="00870F53" w:rsidRDefault="008F77E1" w:rsidP="00870F53">
      <w:pPr>
        <w:pStyle w:val="ListParagraph"/>
        <w:numPr>
          <w:ilvl w:val="0"/>
          <w:numId w:val="27"/>
        </w:numPr>
        <w:spacing w:after="0"/>
        <w:rPr>
          <w:rFonts w:ascii="Arial" w:hAnsi="Arial" w:cs="Arial"/>
          <w:sz w:val="24"/>
          <w:szCs w:val="24"/>
        </w:rPr>
      </w:pPr>
      <w:r w:rsidRPr="00870F53">
        <w:rPr>
          <w:rFonts w:ascii="Arial" w:hAnsi="Arial" w:cs="Arial"/>
          <w:sz w:val="24"/>
          <w:szCs w:val="24"/>
        </w:rPr>
        <w:t>A Diversity Calendar</w:t>
      </w:r>
    </w:p>
    <w:p w:rsidR="0013593F" w:rsidRPr="00870F53" w:rsidRDefault="00BF2244" w:rsidP="00870F53">
      <w:pPr>
        <w:pStyle w:val="ListParagraph"/>
        <w:spacing w:after="0"/>
        <w:rPr>
          <w:rFonts w:ascii="Arial" w:hAnsi="Arial" w:cs="Arial"/>
          <w:sz w:val="24"/>
          <w:szCs w:val="24"/>
        </w:rPr>
      </w:pPr>
      <w:r>
        <w:rPr>
          <w:rFonts w:ascii="Arial" w:hAnsi="Arial" w:cs="Arial"/>
          <w:sz w:val="24"/>
          <w:szCs w:val="24"/>
        </w:rPr>
        <w:t>This is a</w:t>
      </w:r>
      <w:r w:rsidR="00FB6CB3" w:rsidRPr="00870F53">
        <w:rPr>
          <w:rFonts w:ascii="Arial" w:hAnsi="Arial" w:cs="Arial"/>
          <w:sz w:val="24"/>
          <w:szCs w:val="24"/>
        </w:rPr>
        <w:t xml:space="preserve">vailable online via </w:t>
      </w:r>
      <w:proofErr w:type="spellStart"/>
      <w:r w:rsidR="00FB6CB3" w:rsidRPr="00870F53">
        <w:rPr>
          <w:rFonts w:ascii="Arial" w:hAnsi="Arial" w:cs="Arial"/>
          <w:sz w:val="24"/>
          <w:szCs w:val="24"/>
        </w:rPr>
        <w:t>StaffNet</w:t>
      </w:r>
      <w:proofErr w:type="spellEnd"/>
      <w:r w:rsidR="00FB6CB3" w:rsidRPr="00870F53">
        <w:rPr>
          <w:rFonts w:ascii="Arial" w:hAnsi="Arial" w:cs="Arial"/>
          <w:sz w:val="24"/>
          <w:szCs w:val="24"/>
        </w:rPr>
        <w:t xml:space="preserve"> and </w:t>
      </w:r>
      <w:proofErr w:type="spellStart"/>
      <w:r w:rsidR="00FB6CB3" w:rsidRPr="00870F53">
        <w:rPr>
          <w:rFonts w:ascii="Arial" w:hAnsi="Arial" w:cs="Arial"/>
          <w:sz w:val="24"/>
          <w:szCs w:val="24"/>
        </w:rPr>
        <w:t>StudentNet</w:t>
      </w:r>
      <w:proofErr w:type="spellEnd"/>
      <w:r w:rsidR="00FB6CB3" w:rsidRPr="00870F53">
        <w:rPr>
          <w:rFonts w:ascii="Arial" w:hAnsi="Arial" w:cs="Arial"/>
          <w:sz w:val="24"/>
          <w:szCs w:val="24"/>
        </w:rPr>
        <w:t xml:space="preserve"> to promote </w:t>
      </w:r>
      <w:r w:rsidR="008F77E1" w:rsidRPr="00870F53">
        <w:rPr>
          <w:rFonts w:ascii="Arial" w:hAnsi="Arial" w:cs="Arial"/>
          <w:sz w:val="24"/>
          <w:szCs w:val="24"/>
        </w:rPr>
        <w:t xml:space="preserve">diversity </w:t>
      </w:r>
      <w:r w:rsidR="00070EB4" w:rsidRPr="00870F53">
        <w:rPr>
          <w:rFonts w:ascii="Arial" w:hAnsi="Arial" w:cs="Arial"/>
          <w:sz w:val="24"/>
          <w:szCs w:val="24"/>
        </w:rPr>
        <w:t>events throughout the year.</w:t>
      </w:r>
      <w:r w:rsidR="00FB6CB3" w:rsidRPr="00870F53">
        <w:rPr>
          <w:rFonts w:ascii="Arial" w:hAnsi="Arial" w:cs="Arial"/>
          <w:sz w:val="24"/>
          <w:szCs w:val="24"/>
        </w:rPr>
        <w:t xml:space="preserve">  It is incorporated into </w:t>
      </w:r>
      <w:r w:rsidR="00070EB4" w:rsidRPr="00870F53">
        <w:rPr>
          <w:rFonts w:ascii="Arial" w:hAnsi="Arial" w:cs="Arial"/>
          <w:sz w:val="24"/>
          <w:szCs w:val="24"/>
        </w:rPr>
        <w:t>Teaching and Learning planning processes</w:t>
      </w:r>
      <w:r w:rsidR="00FB6CB3" w:rsidRPr="00870F53">
        <w:rPr>
          <w:rFonts w:ascii="Arial" w:hAnsi="Arial" w:cs="Arial"/>
          <w:sz w:val="24"/>
          <w:szCs w:val="24"/>
        </w:rPr>
        <w:t xml:space="preserve">, and </w:t>
      </w:r>
      <w:r w:rsidR="00070EB4" w:rsidRPr="00870F53">
        <w:rPr>
          <w:rFonts w:ascii="Arial" w:hAnsi="Arial" w:cs="Arial"/>
          <w:sz w:val="24"/>
          <w:szCs w:val="24"/>
        </w:rPr>
        <w:t xml:space="preserve">by the Learner Involvement Team to support annual </w:t>
      </w:r>
      <w:r w:rsidR="00070EB4" w:rsidRPr="00870F53">
        <w:rPr>
          <w:rFonts w:ascii="Arial" w:hAnsi="Arial" w:cs="Arial"/>
          <w:sz w:val="24"/>
          <w:szCs w:val="24"/>
        </w:rPr>
        <w:lastRenderedPageBreak/>
        <w:t xml:space="preserve">event planning.  Hard </w:t>
      </w:r>
      <w:r w:rsidR="00FB6CB3" w:rsidRPr="00870F53">
        <w:rPr>
          <w:rFonts w:ascii="Arial" w:hAnsi="Arial" w:cs="Arial"/>
          <w:sz w:val="24"/>
          <w:szCs w:val="24"/>
        </w:rPr>
        <w:t xml:space="preserve">desktop </w:t>
      </w:r>
      <w:r w:rsidR="00070EB4" w:rsidRPr="00870F53">
        <w:rPr>
          <w:rFonts w:ascii="Arial" w:hAnsi="Arial" w:cs="Arial"/>
          <w:sz w:val="24"/>
          <w:szCs w:val="24"/>
        </w:rPr>
        <w:t>copies are</w:t>
      </w:r>
      <w:r w:rsidR="00FB6CB3" w:rsidRPr="00870F53">
        <w:rPr>
          <w:rFonts w:ascii="Arial" w:hAnsi="Arial" w:cs="Arial"/>
          <w:sz w:val="24"/>
          <w:szCs w:val="24"/>
        </w:rPr>
        <w:t xml:space="preserve"> also displayed </w:t>
      </w:r>
      <w:r w:rsidR="00070EB4" w:rsidRPr="00870F53">
        <w:rPr>
          <w:rFonts w:ascii="Arial" w:hAnsi="Arial" w:cs="Arial"/>
          <w:sz w:val="24"/>
          <w:szCs w:val="24"/>
        </w:rPr>
        <w:t xml:space="preserve">at reception areas, learning zones and student service areas as promotional tools. </w:t>
      </w:r>
    </w:p>
    <w:p w:rsidR="00612DE0" w:rsidRPr="009B0D63" w:rsidRDefault="00612DE0" w:rsidP="00612DE0">
      <w:pPr>
        <w:spacing w:after="0"/>
        <w:rPr>
          <w:rFonts w:ascii="Arial" w:hAnsi="Arial" w:cs="Arial"/>
          <w:sz w:val="24"/>
          <w:szCs w:val="24"/>
        </w:rPr>
      </w:pPr>
    </w:p>
    <w:p w:rsidR="00FB6CB3" w:rsidRPr="00870F53" w:rsidRDefault="00FB6CB3" w:rsidP="00870F53">
      <w:pPr>
        <w:pStyle w:val="ListParagraph"/>
        <w:numPr>
          <w:ilvl w:val="0"/>
          <w:numId w:val="27"/>
        </w:numPr>
        <w:spacing w:after="0"/>
        <w:rPr>
          <w:rFonts w:ascii="Arial" w:hAnsi="Arial" w:cs="Arial"/>
          <w:sz w:val="24"/>
          <w:szCs w:val="24"/>
        </w:rPr>
      </w:pPr>
      <w:r w:rsidRPr="00870F53">
        <w:rPr>
          <w:rFonts w:ascii="Arial" w:hAnsi="Arial" w:cs="Arial"/>
          <w:sz w:val="24"/>
          <w:szCs w:val="24"/>
        </w:rPr>
        <w:t>EDI Noticeboards</w:t>
      </w:r>
    </w:p>
    <w:p w:rsidR="00612DE0" w:rsidRPr="00870F53" w:rsidRDefault="00FB6CB3" w:rsidP="00870F53">
      <w:pPr>
        <w:pStyle w:val="ListParagraph"/>
        <w:spacing w:after="0"/>
        <w:rPr>
          <w:rFonts w:ascii="Arial" w:hAnsi="Arial" w:cs="Arial"/>
          <w:sz w:val="24"/>
          <w:szCs w:val="24"/>
        </w:rPr>
      </w:pPr>
      <w:r w:rsidRPr="00870F53">
        <w:rPr>
          <w:rFonts w:ascii="Arial" w:hAnsi="Arial" w:cs="Arial"/>
          <w:sz w:val="24"/>
          <w:szCs w:val="24"/>
        </w:rPr>
        <w:t xml:space="preserve">Noticeboards have been dressed </w:t>
      </w:r>
      <w:r w:rsidR="00612DE0" w:rsidRPr="00870F53">
        <w:rPr>
          <w:rFonts w:ascii="Arial" w:hAnsi="Arial" w:cs="Arial"/>
          <w:sz w:val="24"/>
          <w:szCs w:val="24"/>
        </w:rPr>
        <w:t>to promote</w:t>
      </w:r>
      <w:r w:rsidR="00AB53F3" w:rsidRPr="00870F53">
        <w:rPr>
          <w:rFonts w:ascii="Arial" w:hAnsi="Arial" w:cs="Arial"/>
          <w:sz w:val="24"/>
          <w:szCs w:val="24"/>
        </w:rPr>
        <w:t xml:space="preserve"> the EDI agenda and </w:t>
      </w:r>
      <w:r w:rsidR="00612DE0" w:rsidRPr="00870F53">
        <w:rPr>
          <w:rFonts w:ascii="Arial" w:hAnsi="Arial" w:cs="Arial"/>
          <w:sz w:val="24"/>
          <w:szCs w:val="24"/>
        </w:rPr>
        <w:t xml:space="preserve">replicate </w:t>
      </w:r>
      <w:r w:rsidR="00AB53F3" w:rsidRPr="00870F53">
        <w:rPr>
          <w:rFonts w:ascii="Arial" w:hAnsi="Arial" w:cs="Arial"/>
          <w:sz w:val="24"/>
          <w:szCs w:val="24"/>
        </w:rPr>
        <w:t>the content of the EDI section on</w:t>
      </w:r>
      <w:r w:rsidR="00612DE0" w:rsidRPr="00870F53">
        <w:rPr>
          <w:rFonts w:ascii="Arial" w:hAnsi="Arial" w:cs="Arial"/>
          <w:sz w:val="24"/>
          <w:szCs w:val="24"/>
        </w:rPr>
        <w:t xml:space="preserve"> </w:t>
      </w:r>
      <w:proofErr w:type="spellStart"/>
      <w:r w:rsidR="00612DE0" w:rsidRPr="00870F53">
        <w:rPr>
          <w:rFonts w:ascii="Arial" w:hAnsi="Arial" w:cs="Arial"/>
          <w:sz w:val="24"/>
          <w:szCs w:val="24"/>
        </w:rPr>
        <w:t>StudentNet</w:t>
      </w:r>
      <w:proofErr w:type="spellEnd"/>
      <w:r w:rsidR="00AB53F3" w:rsidRPr="00870F53">
        <w:rPr>
          <w:rFonts w:ascii="Arial" w:hAnsi="Arial" w:cs="Arial"/>
          <w:sz w:val="24"/>
          <w:szCs w:val="24"/>
        </w:rPr>
        <w:t xml:space="preserve"> in an accessible format.</w:t>
      </w:r>
      <w:r w:rsidR="00612DE0" w:rsidRPr="00870F53">
        <w:rPr>
          <w:rFonts w:ascii="Arial" w:hAnsi="Arial" w:cs="Arial"/>
          <w:sz w:val="24"/>
          <w:szCs w:val="24"/>
        </w:rPr>
        <w:t xml:space="preserve"> </w:t>
      </w:r>
      <w:r w:rsidRPr="00870F53">
        <w:rPr>
          <w:rFonts w:ascii="Arial" w:hAnsi="Arial" w:cs="Arial"/>
          <w:sz w:val="24"/>
          <w:szCs w:val="24"/>
        </w:rPr>
        <w:t xml:space="preserve"> </w:t>
      </w:r>
      <w:r w:rsidR="00BF2244">
        <w:rPr>
          <w:rFonts w:ascii="Arial" w:hAnsi="Arial" w:cs="Arial"/>
          <w:sz w:val="24"/>
          <w:szCs w:val="24"/>
        </w:rPr>
        <w:t>These are c</w:t>
      </w:r>
      <w:r w:rsidRPr="00870F53">
        <w:rPr>
          <w:rFonts w:ascii="Arial" w:hAnsi="Arial" w:cs="Arial"/>
          <w:sz w:val="24"/>
          <w:szCs w:val="24"/>
        </w:rPr>
        <w:t xml:space="preserve">urrently in use at </w:t>
      </w:r>
      <w:r w:rsidR="00BF2244">
        <w:rPr>
          <w:rFonts w:ascii="Arial" w:hAnsi="Arial" w:cs="Arial"/>
          <w:sz w:val="24"/>
          <w:szCs w:val="24"/>
        </w:rPr>
        <w:t xml:space="preserve">West </w:t>
      </w:r>
      <w:proofErr w:type="spellStart"/>
      <w:r w:rsidR="00BF2244">
        <w:rPr>
          <w:rFonts w:ascii="Arial" w:hAnsi="Arial" w:cs="Arial"/>
          <w:sz w:val="24"/>
          <w:szCs w:val="24"/>
        </w:rPr>
        <w:t>Bridgford</w:t>
      </w:r>
      <w:proofErr w:type="spellEnd"/>
      <w:proofErr w:type="gramStart"/>
      <w:r w:rsidR="00BF2244">
        <w:rPr>
          <w:rFonts w:ascii="Arial" w:hAnsi="Arial" w:cs="Arial"/>
          <w:sz w:val="24"/>
          <w:szCs w:val="24"/>
        </w:rPr>
        <w:t xml:space="preserve">, </w:t>
      </w:r>
      <w:r w:rsidRPr="00870F53">
        <w:rPr>
          <w:rFonts w:ascii="Arial" w:hAnsi="Arial" w:cs="Arial"/>
          <w:sz w:val="24"/>
          <w:szCs w:val="24"/>
        </w:rPr>
        <w:t xml:space="preserve"> M</w:t>
      </w:r>
      <w:r w:rsidR="00BF2244">
        <w:rPr>
          <w:rFonts w:ascii="Arial" w:hAnsi="Arial" w:cs="Arial"/>
          <w:sz w:val="24"/>
          <w:szCs w:val="24"/>
        </w:rPr>
        <w:t>aid</w:t>
      </w:r>
      <w:proofErr w:type="gramEnd"/>
      <w:r w:rsidR="00BF2244">
        <w:rPr>
          <w:rFonts w:ascii="Arial" w:hAnsi="Arial" w:cs="Arial"/>
          <w:sz w:val="24"/>
          <w:szCs w:val="24"/>
        </w:rPr>
        <w:t xml:space="preserve"> </w:t>
      </w:r>
      <w:r w:rsidRPr="00870F53">
        <w:rPr>
          <w:rFonts w:ascii="Arial" w:hAnsi="Arial" w:cs="Arial"/>
          <w:sz w:val="24"/>
          <w:szCs w:val="24"/>
        </w:rPr>
        <w:t>M</w:t>
      </w:r>
      <w:r w:rsidR="00BF2244">
        <w:rPr>
          <w:rFonts w:ascii="Arial" w:hAnsi="Arial" w:cs="Arial"/>
          <w:sz w:val="24"/>
          <w:szCs w:val="24"/>
        </w:rPr>
        <w:t>arian Way</w:t>
      </w:r>
      <w:r w:rsidRPr="00870F53">
        <w:rPr>
          <w:rFonts w:ascii="Arial" w:hAnsi="Arial" w:cs="Arial"/>
          <w:sz w:val="24"/>
          <w:szCs w:val="24"/>
        </w:rPr>
        <w:t>, L</w:t>
      </w:r>
      <w:r w:rsidR="00BF2244">
        <w:rPr>
          <w:rFonts w:ascii="Arial" w:hAnsi="Arial" w:cs="Arial"/>
          <w:sz w:val="24"/>
          <w:szCs w:val="24"/>
        </w:rPr>
        <w:t xml:space="preserve">ondon </w:t>
      </w:r>
      <w:r w:rsidRPr="00870F53">
        <w:rPr>
          <w:rFonts w:ascii="Arial" w:hAnsi="Arial" w:cs="Arial"/>
          <w:sz w:val="24"/>
          <w:szCs w:val="24"/>
        </w:rPr>
        <w:t>R</w:t>
      </w:r>
      <w:r w:rsidR="00BF2244">
        <w:rPr>
          <w:rFonts w:ascii="Arial" w:hAnsi="Arial" w:cs="Arial"/>
          <w:sz w:val="24"/>
          <w:szCs w:val="24"/>
        </w:rPr>
        <w:t>oad</w:t>
      </w:r>
      <w:r w:rsidRPr="00870F53">
        <w:rPr>
          <w:rFonts w:ascii="Arial" w:hAnsi="Arial" w:cs="Arial"/>
          <w:sz w:val="24"/>
          <w:szCs w:val="24"/>
        </w:rPr>
        <w:t xml:space="preserve">, </w:t>
      </w:r>
      <w:r w:rsidR="00BF2244">
        <w:rPr>
          <w:rFonts w:ascii="Arial" w:hAnsi="Arial" w:cs="Arial"/>
          <w:sz w:val="24"/>
          <w:szCs w:val="24"/>
        </w:rPr>
        <w:t>Clifton (</w:t>
      </w:r>
      <w:r w:rsidRPr="00870F53">
        <w:rPr>
          <w:rFonts w:ascii="Arial" w:hAnsi="Arial" w:cs="Arial"/>
          <w:sz w:val="24"/>
          <w:szCs w:val="24"/>
        </w:rPr>
        <w:t>Char</w:t>
      </w:r>
      <w:r w:rsidR="00BF2244">
        <w:rPr>
          <w:rFonts w:ascii="Arial" w:hAnsi="Arial" w:cs="Arial"/>
          <w:sz w:val="24"/>
          <w:szCs w:val="24"/>
        </w:rPr>
        <w:t>n</w:t>
      </w:r>
      <w:r w:rsidRPr="00870F53">
        <w:rPr>
          <w:rFonts w:ascii="Arial" w:hAnsi="Arial" w:cs="Arial"/>
          <w:sz w:val="24"/>
          <w:szCs w:val="24"/>
        </w:rPr>
        <w:t>w</w:t>
      </w:r>
      <w:r w:rsidR="00B74048">
        <w:rPr>
          <w:rFonts w:ascii="Arial" w:hAnsi="Arial" w:cs="Arial"/>
          <w:sz w:val="24"/>
          <w:szCs w:val="24"/>
        </w:rPr>
        <w:t>o</w:t>
      </w:r>
      <w:r w:rsidRPr="00870F53">
        <w:rPr>
          <w:rFonts w:ascii="Arial" w:hAnsi="Arial" w:cs="Arial"/>
          <w:sz w:val="24"/>
          <w:szCs w:val="24"/>
        </w:rPr>
        <w:t>od</w:t>
      </w:r>
      <w:r w:rsidR="00BF2244">
        <w:rPr>
          <w:rFonts w:ascii="Arial" w:hAnsi="Arial" w:cs="Arial"/>
          <w:sz w:val="24"/>
          <w:szCs w:val="24"/>
        </w:rPr>
        <w:t>)</w:t>
      </w:r>
      <w:r w:rsidRPr="00870F53">
        <w:rPr>
          <w:rFonts w:ascii="Arial" w:hAnsi="Arial" w:cs="Arial"/>
          <w:sz w:val="24"/>
          <w:szCs w:val="24"/>
        </w:rPr>
        <w:t xml:space="preserve">, </w:t>
      </w:r>
      <w:r w:rsidR="004D12DB">
        <w:rPr>
          <w:rFonts w:ascii="Arial" w:hAnsi="Arial" w:cs="Arial"/>
          <w:sz w:val="24"/>
          <w:szCs w:val="24"/>
        </w:rPr>
        <w:t xml:space="preserve">Beeston </w:t>
      </w:r>
      <w:r w:rsidRPr="00870F53">
        <w:rPr>
          <w:rFonts w:ascii="Arial" w:hAnsi="Arial" w:cs="Arial"/>
          <w:sz w:val="24"/>
          <w:szCs w:val="24"/>
        </w:rPr>
        <w:t xml:space="preserve">and </w:t>
      </w:r>
      <w:r w:rsidR="00BF2244">
        <w:rPr>
          <w:rFonts w:ascii="Arial" w:hAnsi="Arial" w:cs="Arial"/>
          <w:sz w:val="24"/>
          <w:szCs w:val="24"/>
        </w:rPr>
        <w:t>Stapleford</w:t>
      </w:r>
      <w:r w:rsidRPr="00870F53">
        <w:rPr>
          <w:rFonts w:ascii="Arial" w:hAnsi="Arial" w:cs="Arial"/>
          <w:sz w:val="24"/>
          <w:szCs w:val="24"/>
        </w:rPr>
        <w:t xml:space="preserve"> </w:t>
      </w:r>
    </w:p>
    <w:p w:rsidR="00612DE0" w:rsidRPr="009B0D63" w:rsidRDefault="00612DE0" w:rsidP="00612DE0">
      <w:pPr>
        <w:spacing w:after="0"/>
        <w:rPr>
          <w:rFonts w:ascii="Arial" w:hAnsi="Arial" w:cs="Arial"/>
          <w:sz w:val="24"/>
          <w:szCs w:val="24"/>
        </w:rPr>
      </w:pPr>
    </w:p>
    <w:p w:rsidR="00FB6CB3" w:rsidRPr="00870F53" w:rsidRDefault="00FB6CB3" w:rsidP="00870F53">
      <w:pPr>
        <w:pStyle w:val="ListParagraph"/>
        <w:numPr>
          <w:ilvl w:val="0"/>
          <w:numId w:val="27"/>
        </w:numPr>
        <w:spacing w:after="0"/>
        <w:rPr>
          <w:rFonts w:ascii="Arial" w:hAnsi="Arial" w:cs="Arial"/>
          <w:sz w:val="24"/>
          <w:szCs w:val="24"/>
        </w:rPr>
      </w:pPr>
      <w:r w:rsidRPr="00870F53">
        <w:rPr>
          <w:rFonts w:ascii="Arial" w:hAnsi="Arial" w:cs="Arial"/>
          <w:sz w:val="24"/>
          <w:szCs w:val="24"/>
        </w:rPr>
        <w:t>Facebook</w:t>
      </w:r>
    </w:p>
    <w:p w:rsidR="00FB6CB3" w:rsidRPr="00870F53" w:rsidRDefault="00FB6CB3" w:rsidP="00870F53">
      <w:pPr>
        <w:pStyle w:val="ListParagraph"/>
        <w:spacing w:after="0"/>
        <w:rPr>
          <w:rFonts w:ascii="Arial" w:hAnsi="Arial" w:cs="Arial"/>
          <w:sz w:val="24"/>
          <w:szCs w:val="24"/>
        </w:rPr>
      </w:pPr>
      <w:r w:rsidRPr="00870F53">
        <w:rPr>
          <w:rFonts w:ascii="Arial" w:hAnsi="Arial" w:cs="Arial"/>
          <w:sz w:val="24"/>
          <w:szCs w:val="24"/>
        </w:rPr>
        <w:t>‘</w:t>
      </w:r>
      <w:proofErr w:type="spellStart"/>
      <w:r w:rsidRPr="00870F53">
        <w:rPr>
          <w:rFonts w:ascii="Arial" w:hAnsi="Arial" w:cs="Arial"/>
          <w:sz w:val="24"/>
          <w:szCs w:val="24"/>
        </w:rPr>
        <w:t>FairFut</w:t>
      </w:r>
      <w:r w:rsidR="0070481D">
        <w:rPr>
          <w:rFonts w:ascii="Arial" w:hAnsi="Arial" w:cs="Arial"/>
          <w:sz w:val="24"/>
          <w:szCs w:val="24"/>
        </w:rPr>
        <w:t>u</w:t>
      </w:r>
      <w:r w:rsidRPr="00870F53">
        <w:rPr>
          <w:rFonts w:ascii="Arial" w:hAnsi="Arial" w:cs="Arial"/>
          <w:sz w:val="24"/>
          <w:szCs w:val="24"/>
        </w:rPr>
        <w:t>res</w:t>
      </w:r>
      <w:proofErr w:type="spellEnd"/>
      <w:r w:rsidRPr="00870F53">
        <w:rPr>
          <w:rFonts w:ascii="Arial" w:hAnsi="Arial" w:cs="Arial"/>
          <w:sz w:val="24"/>
          <w:szCs w:val="24"/>
        </w:rPr>
        <w:t xml:space="preserve">’ page created to </w:t>
      </w:r>
      <w:r w:rsidR="00070EB4" w:rsidRPr="00870F53">
        <w:rPr>
          <w:rFonts w:ascii="Arial" w:hAnsi="Arial" w:cs="Arial"/>
          <w:sz w:val="24"/>
          <w:szCs w:val="24"/>
        </w:rPr>
        <w:t>promote and celebrate college, local, national and international equality and diversity related news to Facebook users.</w:t>
      </w:r>
      <w:r w:rsidR="00783D92" w:rsidRPr="00870F53">
        <w:rPr>
          <w:rFonts w:ascii="Arial" w:hAnsi="Arial" w:cs="Arial"/>
          <w:sz w:val="24"/>
          <w:szCs w:val="24"/>
        </w:rPr>
        <w:t xml:space="preserve">  </w:t>
      </w:r>
      <w:r w:rsidRPr="00870F53">
        <w:rPr>
          <w:rFonts w:ascii="Arial" w:hAnsi="Arial" w:cs="Arial"/>
          <w:sz w:val="24"/>
          <w:szCs w:val="24"/>
        </w:rPr>
        <w:t xml:space="preserve">Links posted on </w:t>
      </w:r>
      <w:proofErr w:type="spellStart"/>
      <w:r w:rsidRPr="00870F53">
        <w:rPr>
          <w:rFonts w:ascii="Arial" w:hAnsi="Arial" w:cs="Arial"/>
          <w:sz w:val="24"/>
          <w:szCs w:val="24"/>
        </w:rPr>
        <w:t>StudentNet</w:t>
      </w:r>
      <w:proofErr w:type="spellEnd"/>
      <w:r w:rsidRPr="00870F53">
        <w:rPr>
          <w:rFonts w:ascii="Arial" w:hAnsi="Arial" w:cs="Arial"/>
          <w:sz w:val="24"/>
          <w:szCs w:val="24"/>
        </w:rPr>
        <w:t>.</w:t>
      </w:r>
      <w:r w:rsidR="00870F53" w:rsidRPr="00870F53">
        <w:rPr>
          <w:rFonts w:ascii="Arial" w:hAnsi="Arial" w:cs="Arial"/>
          <w:sz w:val="24"/>
          <w:szCs w:val="24"/>
        </w:rPr>
        <w:t xml:space="preserve">  Current</w:t>
      </w:r>
      <w:r w:rsidR="00BF2244">
        <w:rPr>
          <w:rFonts w:ascii="Arial" w:hAnsi="Arial" w:cs="Arial"/>
          <w:sz w:val="24"/>
          <w:szCs w:val="24"/>
        </w:rPr>
        <w:t>l</w:t>
      </w:r>
      <w:r w:rsidR="00870F53" w:rsidRPr="00870F53">
        <w:rPr>
          <w:rFonts w:ascii="Arial" w:hAnsi="Arial" w:cs="Arial"/>
          <w:sz w:val="24"/>
          <w:szCs w:val="24"/>
        </w:rPr>
        <w:t>y holds 76 ‘likes’.</w:t>
      </w:r>
    </w:p>
    <w:p w:rsidR="00FB6CB3" w:rsidRDefault="00FB6CB3" w:rsidP="00A21CD4">
      <w:pPr>
        <w:spacing w:after="0"/>
        <w:rPr>
          <w:rFonts w:ascii="Arial" w:hAnsi="Arial" w:cs="Arial"/>
          <w:sz w:val="24"/>
          <w:szCs w:val="24"/>
        </w:rPr>
      </w:pPr>
    </w:p>
    <w:p w:rsidR="00FB6CB3" w:rsidRPr="00870F53" w:rsidRDefault="00FB6CB3" w:rsidP="00870F53">
      <w:pPr>
        <w:pStyle w:val="ListParagraph"/>
        <w:numPr>
          <w:ilvl w:val="0"/>
          <w:numId w:val="27"/>
        </w:numPr>
        <w:spacing w:after="0"/>
        <w:rPr>
          <w:rFonts w:ascii="Arial" w:hAnsi="Arial" w:cs="Arial"/>
          <w:sz w:val="24"/>
          <w:szCs w:val="24"/>
        </w:rPr>
      </w:pPr>
      <w:proofErr w:type="spellStart"/>
      <w:r w:rsidRPr="00870F53">
        <w:rPr>
          <w:rFonts w:ascii="Arial" w:hAnsi="Arial" w:cs="Arial"/>
          <w:sz w:val="24"/>
          <w:szCs w:val="24"/>
        </w:rPr>
        <w:t>Freshers</w:t>
      </w:r>
      <w:proofErr w:type="spellEnd"/>
      <w:r w:rsidRPr="00870F53">
        <w:rPr>
          <w:rFonts w:ascii="Arial" w:hAnsi="Arial" w:cs="Arial"/>
          <w:sz w:val="24"/>
          <w:szCs w:val="24"/>
        </w:rPr>
        <w:t xml:space="preserve"> </w:t>
      </w:r>
      <w:proofErr w:type="spellStart"/>
      <w:r w:rsidRPr="00870F53">
        <w:rPr>
          <w:rFonts w:ascii="Arial" w:hAnsi="Arial" w:cs="Arial"/>
          <w:sz w:val="24"/>
          <w:szCs w:val="24"/>
        </w:rPr>
        <w:t>Fayre</w:t>
      </w:r>
      <w:proofErr w:type="spellEnd"/>
    </w:p>
    <w:p w:rsidR="00870F53" w:rsidRPr="00870F53" w:rsidRDefault="00070EB4" w:rsidP="00870F53">
      <w:pPr>
        <w:pStyle w:val="ListParagraph"/>
        <w:spacing w:after="0"/>
        <w:rPr>
          <w:rFonts w:ascii="Arial" w:hAnsi="Arial" w:cs="Arial"/>
          <w:sz w:val="24"/>
          <w:szCs w:val="24"/>
        </w:rPr>
      </w:pPr>
      <w:r w:rsidRPr="00870F53">
        <w:rPr>
          <w:rFonts w:ascii="Arial" w:hAnsi="Arial" w:cs="Arial"/>
          <w:sz w:val="24"/>
          <w:szCs w:val="24"/>
        </w:rPr>
        <w:t>The Team attended each ‘</w:t>
      </w:r>
      <w:proofErr w:type="spellStart"/>
      <w:r w:rsidRPr="00870F53">
        <w:rPr>
          <w:rFonts w:ascii="Arial" w:hAnsi="Arial" w:cs="Arial"/>
          <w:sz w:val="24"/>
          <w:szCs w:val="24"/>
        </w:rPr>
        <w:t>Freshers</w:t>
      </w:r>
      <w:proofErr w:type="spellEnd"/>
      <w:r w:rsidRPr="00870F53">
        <w:rPr>
          <w:rFonts w:ascii="Arial" w:hAnsi="Arial" w:cs="Arial"/>
          <w:sz w:val="24"/>
          <w:szCs w:val="24"/>
        </w:rPr>
        <w:t xml:space="preserve"> </w:t>
      </w:r>
      <w:proofErr w:type="spellStart"/>
      <w:r w:rsidRPr="00870F53">
        <w:rPr>
          <w:rFonts w:ascii="Arial" w:hAnsi="Arial" w:cs="Arial"/>
          <w:sz w:val="24"/>
          <w:szCs w:val="24"/>
        </w:rPr>
        <w:t>Fayre</w:t>
      </w:r>
      <w:proofErr w:type="spellEnd"/>
      <w:r w:rsidRPr="00870F53">
        <w:rPr>
          <w:rFonts w:ascii="Arial" w:hAnsi="Arial" w:cs="Arial"/>
          <w:sz w:val="24"/>
          <w:szCs w:val="24"/>
        </w:rPr>
        <w:t>’ event</w:t>
      </w:r>
      <w:r w:rsidR="00FB6CB3" w:rsidRPr="00870F53">
        <w:rPr>
          <w:rFonts w:ascii="Arial" w:hAnsi="Arial" w:cs="Arial"/>
          <w:sz w:val="24"/>
          <w:szCs w:val="24"/>
        </w:rPr>
        <w:t xml:space="preserve"> t</w:t>
      </w:r>
      <w:r w:rsidRPr="00870F53">
        <w:rPr>
          <w:rFonts w:ascii="Arial" w:hAnsi="Arial" w:cs="Arial"/>
          <w:sz w:val="24"/>
          <w:szCs w:val="24"/>
        </w:rPr>
        <w:t>o introduce themse</w:t>
      </w:r>
      <w:r w:rsidR="00783D92" w:rsidRPr="00870F53">
        <w:rPr>
          <w:rFonts w:ascii="Arial" w:hAnsi="Arial" w:cs="Arial"/>
          <w:sz w:val="24"/>
          <w:szCs w:val="24"/>
        </w:rPr>
        <w:t xml:space="preserve">lves to learners and to promote </w:t>
      </w:r>
      <w:r w:rsidR="00870F53" w:rsidRPr="00870F53">
        <w:rPr>
          <w:rFonts w:ascii="Arial" w:hAnsi="Arial" w:cs="Arial"/>
          <w:sz w:val="24"/>
          <w:szCs w:val="24"/>
        </w:rPr>
        <w:t>the EDI message.</w:t>
      </w:r>
    </w:p>
    <w:p w:rsidR="00070EB4" w:rsidRPr="009B0D63" w:rsidRDefault="00070EB4" w:rsidP="00870F53">
      <w:pPr>
        <w:spacing w:after="0"/>
        <w:ind w:firstLine="135"/>
        <w:rPr>
          <w:rFonts w:ascii="Arial" w:hAnsi="Arial" w:cs="Arial"/>
          <w:sz w:val="24"/>
          <w:szCs w:val="24"/>
        </w:rPr>
      </w:pPr>
    </w:p>
    <w:p w:rsidR="00AA7DFB" w:rsidRPr="009B0D63" w:rsidRDefault="00AA7DFB" w:rsidP="00A21CD4">
      <w:pPr>
        <w:spacing w:after="0"/>
        <w:rPr>
          <w:rFonts w:ascii="Arial" w:hAnsi="Arial" w:cs="Arial"/>
          <w:sz w:val="24"/>
          <w:szCs w:val="24"/>
        </w:rPr>
      </w:pPr>
    </w:p>
    <w:p w:rsidR="00870F53" w:rsidRPr="00C21F62" w:rsidRDefault="00870F53" w:rsidP="00A21CD4">
      <w:pPr>
        <w:spacing w:after="0"/>
        <w:rPr>
          <w:rFonts w:ascii="Arial" w:hAnsi="Arial" w:cs="Arial"/>
          <w:b/>
          <w:sz w:val="24"/>
          <w:szCs w:val="24"/>
        </w:rPr>
      </w:pPr>
      <w:r w:rsidRPr="00C21F62">
        <w:rPr>
          <w:rFonts w:ascii="Arial" w:hAnsi="Arial" w:cs="Arial"/>
          <w:b/>
          <w:sz w:val="24"/>
          <w:szCs w:val="24"/>
        </w:rPr>
        <w:t>4</w:t>
      </w:r>
      <w:r w:rsidR="00F91E98" w:rsidRPr="00C21F62">
        <w:rPr>
          <w:rFonts w:ascii="Arial" w:hAnsi="Arial" w:cs="Arial"/>
          <w:b/>
          <w:sz w:val="24"/>
          <w:szCs w:val="24"/>
        </w:rPr>
        <w:t>c</w:t>
      </w:r>
      <w:proofErr w:type="gramStart"/>
      <w:r w:rsidRPr="00C21F62">
        <w:rPr>
          <w:rFonts w:ascii="Arial" w:hAnsi="Arial" w:cs="Arial"/>
          <w:b/>
          <w:sz w:val="24"/>
          <w:szCs w:val="24"/>
        </w:rPr>
        <w:t>.  Engaging</w:t>
      </w:r>
      <w:proofErr w:type="gramEnd"/>
      <w:r w:rsidRPr="00C21F62">
        <w:rPr>
          <w:rFonts w:ascii="Arial" w:hAnsi="Arial" w:cs="Arial"/>
          <w:b/>
          <w:sz w:val="24"/>
          <w:szCs w:val="24"/>
        </w:rPr>
        <w:t xml:space="preserve"> Learners</w:t>
      </w:r>
    </w:p>
    <w:p w:rsidR="00AA783A" w:rsidRDefault="00AA783A" w:rsidP="00A21CD4">
      <w:pPr>
        <w:spacing w:after="0"/>
        <w:rPr>
          <w:rFonts w:ascii="Arial" w:hAnsi="Arial" w:cs="Arial"/>
          <w:sz w:val="24"/>
          <w:szCs w:val="24"/>
        </w:rPr>
      </w:pPr>
    </w:p>
    <w:p w:rsidR="00AA783A" w:rsidRPr="00AA783A" w:rsidRDefault="00AA783A" w:rsidP="00AA783A">
      <w:pPr>
        <w:pStyle w:val="ListParagraph"/>
        <w:numPr>
          <w:ilvl w:val="0"/>
          <w:numId w:val="28"/>
        </w:numPr>
        <w:spacing w:after="0"/>
        <w:rPr>
          <w:rFonts w:ascii="Arial" w:hAnsi="Arial" w:cs="Arial"/>
          <w:sz w:val="24"/>
          <w:szCs w:val="24"/>
        </w:rPr>
      </w:pPr>
      <w:r w:rsidRPr="00AA783A">
        <w:rPr>
          <w:rFonts w:ascii="Arial" w:hAnsi="Arial" w:cs="Arial"/>
          <w:sz w:val="24"/>
          <w:szCs w:val="24"/>
        </w:rPr>
        <w:t>EDI Learner Rep</w:t>
      </w:r>
      <w:r w:rsidR="00BF2244">
        <w:rPr>
          <w:rFonts w:ascii="Arial" w:hAnsi="Arial" w:cs="Arial"/>
          <w:sz w:val="24"/>
          <w:szCs w:val="24"/>
        </w:rPr>
        <w:t>resentatives</w:t>
      </w:r>
    </w:p>
    <w:p w:rsidR="00AA783A" w:rsidRPr="00AA783A" w:rsidRDefault="00AA7DFB" w:rsidP="00AA783A">
      <w:pPr>
        <w:pStyle w:val="ListParagraph"/>
        <w:spacing w:after="0"/>
        <w:rPr>
          <w:rFonts w:ascii="Arial" w:hAnsi="Arial" w:cs="Arial"/>
          <w:sz w:val="24"/>
          <w:szCs w:val="24"/>
        </w:rPr>
      </w:pPr>
      <w:r w:rsidRPr="00AA783A">
        <w:rPr>
          <w:rFonts w:ascii="Arial" w:hAnsi="Arial" w:cs="Arial"/>
          <w:sz w:val="24"/>
          <w:szCs w:val="24"/>
        </w:rPr>
        <w:t xml:space="preserve">18 Learners </w:t>
      </w:r>
      <w:r w:rsidR="00B74048" w:rsidRPr="00AA783A">
        <w:rPr>
          <w:rFonts w:ascii="Arial" w:hAnsi="Arial" w:cs="Arial"/>
          <w:sz w:val="24"/>
          <w:szCs w:val="24"/>
        </w:rPr>
        <w:t>Rep</w:t>
      </w:r>
      <w:r w:rsidR="00B74048">
        <w:rPr>
          <w:rFonts w:ascii="Arial" w:hAnsi="Arial" w:cs="Arial"/>
          <w:sz w:val="24"/>
          <w:szCs w:val="24"/>
        </w:rPr>
        <w:t>resentatives</w:t>
      </w:r>
      <w:r w:rsidRPr="00AA783A">
        <w:rPr>
          <w:rFonts w:ascii="Arial" w:hAnsi="Arial" w:cs="Arial"/>
          <w:sz w:val="24"/>
          <w:szCs w:val="24"/>
        </w:rPr>
        <w:t xml:space="preserve"> from 5 college sites have volunteered to work with the EDI Team to ensure learners engage with EDI matters and to drive college developments from the learner perspective.  </w:t>
      </w:r>
      <w:r w:rsidR="00AA783A" w:rsidRPr="00AA783A">
        <w:rPr>
          <w:rFonts w:ascii="Arial" w:hAnsi="Arial" w:cs="Arial"/>
          <w:sz w:val="24"/>
          <w:szCs w:val="24"/>
        </w:rPr>
        <w:t xml:space="preserve">Meetings are held bi-monthly and </w:t>
      </w:r>
      <w:r w:rsidR="00BF2244">
        <w:rPr>
          <w:rFonts w:ascii="Arial" w:hAnsi="Arial" w:cs="Arial"/>
          <w:sz w:val="24"/>
          <w:szCs w:val="24"/>
        </w:rPr>
        <w:t xml:space="preserve">are </w:t>
      </w:r>
      <w:proofErr w:type="spellStart"/>
      <w:r w:rsidR="00AA783A" w:rsidRPr="00AA783A">
        <w:rPr>
          <w:rFonts w:ascii="Arial" w:hAnsi="Arial" w:cs="Arial"/>
          <w:sz w:val="24"/>
          <w:szCs w:val="24"/>
        </w:rPr>
        <w:t>minuted</w:t>
      </w:r>
      <w:proofErr w:type="spellEnd"/>
      <w:r w:rsidR="00AA783A" w:rsidRPr="00AA783A">
        <w:rPr>
          <w:rFonts w:ascii="Arial" w:hAnsi="Arial" w:cs="Arial"/>
          <w:sz w:val="24"/>
          <w:szCs w:val="24"/>
        </w:rPr>
        <w:t xml:space="preserve"> by learners.</w:t>
      </w:r>
    </w:p>
    <w:p w:rsidR="00AA7DFB" w:rsidRPr="009B0D63" w:rsidRDefault="00AA7DFB" w:rsidP="00AA783A">
      <w:pPr>
        <w:spacing w:after="0"/>
        <w:ind w:firstLine="60"/>
        <w:rPr>
          <w:rFonts w:ascii="Arial" w:hAnsi="Arial" w:cs="Arial"/>
          <w:sz w:val="24"/>
          <w:szCs w:val="24"/>
        </w:rPr>
      </w:pPr>
    </w:p>
    <w:p w:rsidR="00AA7DFB" w:rsidRPr="00AA783A" w:rsidRDefault="00AA783A" w:rsidP="00AA783A">
      <w:pPr>
        <w:pStyle w:val="ListParagraph"/>
        <w:numPr>
          <w:ilvl w:val="0"/>
          <w:numId w:val="28"/>
        </w:numPr>
        <w:spacing w:after="0"/>
        <w:rPr>
          <w:rFonts w:ascii="Arial" w:hAnsi="Arial" w:cs="Arial"/>
          <w:sz w:val="24"/>
          <w:szCs w:val="24"/>
        </w:rPr>
      </w:pPr>
      <w:r w:rsidRPr="00AA783A">
        <w:rPr>
          <w:rFonts w:ascii="Arial" w:hAnsi="Arial" w:cs="Arial"/>
          <w:sz w:val="24"/>
          <w:szCs w:val="24"/>
        </w:rPr>
        <w:t>Diversity Poster Competition</w:t>
      </w:r>
    </w:p>
    <w:p w:rsidR="00AA783A" w:rsidRPr="00AA783A" w:rsidRDefault="00BF2244" w:rsidP="00AA783A">
      <w:pPr>
        <w:pStyle w:val="ListParagraph"/>
        <w:spacing w:after="0"/>
        <w:rPr>
          <w:rFonts w:ascii="Arial" w:hAnsi="Arial" w:cs="Arial"/>
          <w:sz w:val="24"/>
          <w:szCs w:val="24"/>
        </w:rPr>
      </w:pPr>
      <w:r>
        <w:rPr>
          <w:rFonts w:ascii="Arial" w:hAnsi="Arial" w:cs="Arial"/>
          <w:sz w:val="24"/>
          <w:szCs w:val="24"/>
        </w:rPr>
        <w:t>T</w:t>
      </w:r>
      <w:r w:rsidR="00783D92" w:rsidRPr="00AA783A">
        <w:rPr>
          <w:rFonts w:ascii="Arial" w:hAnsi="Arial" w:cs="Arial"/>
          <w:sz w:val="24"/>
          <w:szCs w:val="24"/>
        </w:rPr>
        <w:t xml:space="preserve">he </w:t>
      </w:r>
      <w:r>
        <w:rPr>
          <w:rFonts w:ascii="Arial" w:hAnsi="Arial" w:cs="Arial"/>
          <w:sz w:val="24"/>
          <w:szCs w:val="24"/>
        </w:rPr>
        <w:t xml:space="preserve">EDI </w:t>
      </w:r>
      <w:r w:rsidR="00783D92" w:rsidRPr="00AA783A">
        <w:rPr>
          <w:rFonts w:ascii="Arial" w:hAnsi="Arial" w:cs="Arial"/>
          <w:sz w:val="24"/>
          <w:szCs w:val="24"/>
        </w:rPr>
        <w:t>Team launched a poster competition inviting learners to design a</w:t>
      </w:r>
      <w:r w:rsidR="00AA783A" w:rsidRPr="00AA783A">
        <w:rPr>
          <w:rFonts w:ascii="Arial" w:hAnsi="Arial" w:cs="Arial"/>
          <w:sz w:val="24"/>
          <w:szCs w:val="24"/>
        </w:rPr>
        <w:t xml:space="preserve">n EDI </w:t>
      </w:r>
      <w:r w:rsidR="00783D92" w:rsidRPr="00AA783A">
        <w:rPr>
          <w:rFonts w:ascii="Arial" w:hAnsi="Arial" w:cs="Arial"/>
          <w:sz w:val="24"/>
          <w:szCs w:val="24"/>
        </w:rPr>
        <w:t>poster for the college</w:t>
      </w:r>
      <w:r w:rsidR="00AA783A" w:rsidRPr="00AA783A">
        <w:rPr>
          <w:rFonts w:ascii="Arial" w:hAnsi="Arial" w:cs="Arial"/>
          <w:sz w:val="24"/>
          <w:szCs w:val="24"/>
        </w:rPr>
        <w:t xml:space="preserve">.  </w:t>
      </w:r>
      <w:r w:rsidR="00783D92" w:rsidRPr="00AA783A">
        <w:rPr>
          <w:rFonts w:ascii="Arial" w:hAnsi="Arial" w:cs="Arial"/>
          <w:sz w:val="24"/>
          <w:szCs w:val="24"/>
        </w:rPr>
        <w:t xml:space="preserve">The competition was promoted through flyers, posters and emails to </w:t>
      </w:r>
      <w:r>
        <w:rPr>
          <w:rFonts w:ascii="Arial" w:hAnsi="Arial" w:cs="Arial"/>
          <w:sz w:val="24"/>
          <w:szCs w:val="24"/>
        </w:rPr>
        <w:t>Heads of School</w:t>
      </w:r>
      <w:r w:rsidR="00783D92" w:rsidRPr="00AA783A">
        <w:rPr>
          <w:rFonts w:ascii="Arial" w:hAnsi="Arial" w:cs="Arial"/>
          <w:sz w:val="24"/>
          <w:szCs w:val="24"/>
        </w:rPr>
        <w:t xml:space="preserve"> and </w:t>
      </w:r>
      <w:r>
        <w:rPr>
          <w:rFonts w:ascii="Arial" w:hAnsi="Arial" w:cs="Arial"/>
          <w:sz w:val="24"/>
          <w:szCs w:val="24"/>
        </w:rPr>
        <w:t>Curriculum Managers</w:t>
      </w:r>
      <w:r w:rsidR="00783D92" w:rsidRPr="00AA783A">
        <w:rPr>
          <w:rFonts w:ascii="Arial" w:hAnsi="Arial" w:cs="Arial"/>
          <w:sz w:val="24"/>
          <w:szCs w:val="24"/>
        </w:rPr>
        <w:t xml:space="preserve"> which resulted in </w:t>
      </w:r>
      <w:r>
        <w:rPr>
          <w:rFonts w:ascii="Arial" w:hAnsi="Arial" w:cs="Arial"/>
          <w:sz w:val="24"/>
          <w:szCs w:val="24"/>
        </w:rPr>
        <w:t xml:space="preserve">a number of teaching </w:t>
      </w:r>
      <w:r w:rsidR="00783D92" w:rsidRPr="00AA783A">
        <w:rPr>
          <w:rFonts w:ascii="Arial" w:hAnsi="Arial" w:cs="Arial"/>
          <w:sz w:val="24"/>
          <w:szCs w:val="24"/>
        </w:rPr>
        <w:t xml:space="preserve">staff using it as an opportunity to </w:t>
      </w:r>
      <w:r w:rsidR="00612DE0" w:rsidRPr="00AA783A">
        <w:rPr>
          <w:rFonts w:ascii="Arial" w:hAnsi="Arial" w:cs="Arial"/>
          <w:sz w:val="24"/>
          <w:szCs w:val="24"/>
        </w:rPr>
        <w:t xml:space="preserve">embed an EDI activity in their subject area.  143 </w:t>
      </w:r>
      <w:r w:rsidR="00783D92" w:rsidRPr="00AA783A">
        <w:rPr>
          <w:rFonts w:ascii="Arial" w:hAnsi="Arial" w:cs="Arial"/>
          <w:sz w:val="24"/>
          <w:szCs w:val="24"/>
        </w:rPr>
        <w:t>entries</w:t>
      </w:r>
      <w:r w:rsidR="00612DE0" w:rsidRPr="00AA783A">
        <w:rPr>
          <w:rFonts w:ascii="Arial" w:hAnsi="Arial" w:cs="Arial"/>
          <w:sz w:val="24"/>
          <w:szCs w:val="24"/>
        </w:rPr>
        <w:t xml:space="preserve"> were received </w:t>
      </w:r>
      <w:r w:rsidR="00783D92" w:rsidRPr="00AA783A">
        <w:rPr>
          <w:rFonts w:ascii="Arial" w:hAnsi="Arial" w:cs="Arial"/>
          <w:sz w:val="24"/>
          <w:szCs w:val="24"/>
        </w:rPr>
        <w:t>from Schools</w:t>
      </w:r>
      <w:r w:rsidR="00AA783A" w:rsidRPr="00AA783A">
        <w:rPr>
          <w:rFonts w:ascii="Arial" w:hAnsi="Arial" w:cs="Arial"/>
          <w:sz w:val="24"/>
          <w:szCs w:val="24"/>
        </w:rPr>
        <w:t xml:space="preserve">.  </w:t>
      </w:r>
    </w:p>
    <w:p w:rsidR="00AA783A" w:rsidRDefault="00AA783A" w:rsidP="00A21CD4">
      <w:pPr>
        <w:spacing w:after="0"/>
        <w:rPr>
          <w:rFonts w:ascii="Arial" w:hAnsi="Arial" w:cs="Arial"/>
          <w:sz w:val="24"/>
          <w:szCs w:val="24"/>
        </w:rPr>
      </w:pPr>
    </w:p>
    <w:p w:rsidR="00612DE0" w:rsidRPr="009B0D63" w:rsidRDefault="00AA783A" w:rsidP="00AA783A">
      <w:pPr>
        <w:spacing w:after="0"/>
        <w:ind w:left="720"/>
        <w:rPr>
          <w:rFonts w:ascii="Arial" w:hAnsi="Arial" w:cs="Arial"/>
          <w:sz w:val="24"/>
          <w:szCs w:val="24"/>
        </w:rPr>
      </w:pPr>
      <w:r>
        <w:rPr>
          <w:rFonts w:ascii="Arial" w:hAnsi="Arial" w:cs="Arial"/>
          <w:sz w:val="24"/>
          <w:szCs w:val="24"/>
        </w:rPr>
        <w:t xml:space="preserve">The </w:t>
      </w:r>
      <w:r w:rsidR="00612DE0" w:rsidRPr="009B0D63">
        <w:rPr>
          <w:rFonts w:ascii="Arial" w:hAnsi="Arial" w:cs="Arial"/>
          <w:sz w:val="24"/>
          <w:szCs w:val="24"/>
        </w:rPr>
        <w:t xml:space="preserve">Marketing Team </w:t>
      </w:r>
      <w:r>
        <w:rPr>
          <w:rFonts w:ascii="Arial" w:hAnsi="Arial" w:cs="Arial"/>
          <w:sz w:val="24"/>
          <w:szCs w:val="24"/>
        </w:rPr>
        <w:t>will work with</w:t>
      </w:r>
      <w:r w:rsidR="00612DE0" w:rsidRPr="009B0D63">
        <w:rPr>
          <w:rFonts w:ascii="Arial" w:hAnsi="Arial" w:cs="Arial"/>
          <w:sz w:val="24"/>
          <w:szCs w:val="24"/>
        </w:rPr>
        <w:t xml:space="preserve"> the winner to create a professional finish to the design.  This has been a positive exercise in embedding and raising the profile of EDI across </w:t>
      </w:r>
      <w:r w:rsidR="00BF2244">
        <w:rPr>
          <w:rFonts w:ascii="Arial" w:hAnsi="Arial" w:cs="Arial"/>
          <w:sz w:val="24"/>
          <w:szCs w:val="24"/>
        </w:rPr>
        <w:t>all areas of the college</w:t>
      </w:r>
    </w:p>
    <w:p w:rsidR="00A21CD4" w:rsidRPr="009B0D63" w:rsidRDefault="00A21CD4" w:rsidP="00A21CD4">
      <w:pPr>
        <w:spacing w:after="0"/>
        <w:rPr>
          <w:rFonts w:ascii="Arial" w:hAnsi="Arial" w:cs="Arial"/>
          <w:sz w:val="24"/>
          <w:szCs w:val="24"/>
        </w:rPr>
      </w:pPr>
    </w:p>
    <w:p w:rsidR="0013593F" w:rsidRPr="00F91E98" w:rsidRDefault="00551EC2" w:rsidP="00AB53F3">
      <w:pPr>
        <w:spacing w:after="0"/>
        <w:rPr>
          <w:rFonts w:ascii="Arial" w:hAnsi="Arial" w:cs="Arial"/>
          <w:sz w:val="24"/>
          <w:szCs w:val="24"/>
        </w:rPr>
      </w:pPr>
      <w:r w:rsidRPr="00F91E98">
        <w:rPr>
          <w:rFonts w:ascii="Arial" w:hAnsi="Arial" w:cs="Arial"/>
          <w:sz w:val="24"/>
          <w:szCs w:val="24"/>
        </w:rPr>
        <w:t xml:space="preserve"> </w:t>
      </w:r>
      <w:r w:rsidR="00C85E9B" w:rsidRPr="00F91E98">
        <w:rPr>
          <w:rFonts w:ascii="Arial" w:hAnsi="Arial" w:cs="Arial"/>
          <w:sz w:val="24"/>
          <w:szCs w:val="24"/>
        </w:rPr>
        <w:t xml:space="preserve">  </w:t>
      </w:r>
    </w:p>
    <w:p w:rsidR="00B74048" w:rsidRDefault="00B74048" w:rsidP="00F91E98">
      <w:pPr>
        <w:spacing w:after="0"/>
        <w:rPr>
          <w:rFonts w:ascii="Arial" w:hAnsi="Arial" w:cs="Arial"/>
          <w:b/>
          <w:sz w:val="24"/>
          <w:szCs w:val="24"/>
        </w:rPr>
      </w:pPr>
    </w:p>
    <w:p w:rsidR="00B74048" w:rsidRDefault="00B74048" w:rsidP="00F91E98">
      <w:pPr>
        <w:spacing w:after="0"/>
        <w:rPr>
          <w:rFonts w:ascii="Arial" w:hAnsi="Arial" w:cs="Arial"/>
          <w:b/>
          <w:sz w:val="24"/>
          <w:szCs w:val="24"/>
        </w:rPr>
      </w:pPr>
    </w:p>
    <w:p w:rsidR="00B74048" w:rsidRDefault="00B74048" w:rsidP="00F91E98">
      <w:pPr>
        <w:spacing w:after="0"/>
        <w:rPr>
          <w:rFonts w:ascii="Arial" w:hAnsi="Arial" w:cs="Arial"/>
          <w:b/>
          <w:sz w:val="24"/>
          <w:szCs w:val="24"/>
        </w:rPr>
      </w:pPr>
    </w:p>
    <w:p w:rsidR="00B74048" w:rsidRDefault="00B74048" w:rsidP="00F91E98">
      <w:pPr>
        <w:spacing w:after="0"/>
        <w:rPr>
          <w:rFonts w:ascii="Arial" w:hAnsi="Arial" w:cs="Arial"/>
          <w:b/>
          <w:sz w:val="24"/>
          <w:szCs w:val="24"/>
        </w:rPr>
      </w:pPr>
    </w:p>
    <w:p w:rsidR="00F91E98" w:rsidRPr="00C21F62" w:rsidRDefault="00F91E98" w:rsidP="00F91E98">
      <w:pPr>
        <w:spacing w:after="0"/>
        <w:rPr>
          <w:rFonts w:ascii="Arial" w:hAnsi="Arial" w:cs="Arial"/>
          <w:b/>
          <w:sz w:val="24"/>
          <w:szCs w:val="24"/>
        </w:rPr>
      </w:pPr>
      <w:r w:rsidRPr="00C21F62">
        <w:rPr>
          <w:rFonts w:ascii="Arial" w:hAnsi="Arial" w:cs="Arial"/>
          <w:b/>
          <w:sz w:val="24"/>
          <w:szCs w:val="24"/>
        </w:rPr>
        <w:lastRenderedPageBreak/>
        <w:t>4d</w:t>
      </w:r>
      <w:proofErr w:type="gramStart"/>
      <w:r w:rsidRPr="00C21F62">
        <w:rPr>
          <w:rFonts w:ascii="Arial" w:hAnsi="Arial" w:cs="Arial"/>
          <w:b/>
          <w:sz w:val="24"/>
          <w:szCs w:val="24"/>
        </w:rPr>
        <w:t>.  Training</w:t>
      </w:r>
      <w:proofErr w:type="gramEnd"/>
      <w:r w:rsidRPr="00C21F62">
        <w:rPr>
          <w:rFonts w:ascii="Arial" w:hAnsi="Arial" w:cs="Arial"/>
          <w:b/>
          <w:sz w:val="24"/>
          <w:szCs w:val="24"/>
        </w:rPr>
        <w:t xml:space="preserve"> and Development</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The EDI Team have developed a 3</w:t>
      </w:r>
      <w:r w:rsidR="00BF2244">
        <w:rPr>
          <w:rFonts w:ascii="Arial" w:hAnsi="Arial" w:cs="Arial"/>
          <w:sz w:val="24"/>
          <w:szCs w:val="24"/>
        </w:rPr>
        <w:t>-</w:t>
      </w:r>
      <w:r w:rsidRPr="00F91E98">
        <w:rPr>
          <w:rFonts w:ascii="Arial" w:hAnsi="Arial" w:cs="Arial"/>
          <w:sz w:val="24"/>
          <w:szCs w:val="24"/>
        </w:rPr>
        <w:t xml:space="preserve"> module online training course which is mandatory for all staff to complete by the end of the 2012 – 2013 academic </w:t>
      </w:r>
      <w:proofErr w:type="gramStart"/>
      <w:r w:rsidRPr="00F91E98">
        <w:rPr>
          <w:rFonts w:ascii="Arial" w:hAnsi="Arial" w:cs="Arial"/>
          <w:sz w:val="24"/>
          <w:szCs w:val="24"/>
        </w:rPr>
        <w:t>year</w:t>
      </w:r>
      <w:proofErr w:type="gramEnd"/>
      <w:r w:rsidRPr="00F91E98">
        <w:rPr>
          <w:rFonts w:ascii="Arial" w:hAnsi="Arial" w:cs="Arial"/>
          <w:sz w:val="24"/>
          <w:szCs w:val="24"/>
        </w:rPr>
        <w:t>.  It is a response to a key equality objective agreed in April 2012, and is in support of future targets.</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 xml:space="preserve">Module 1 was an ‘Introduction to Equality and Diversity’ and the small </w:t>
      </w:r>
      <w:proofErr w:type="gramStart"/>
      <w:r w:rsidRPr="00F91E98">
        <w:rPr>
          <w:rFonts w:ascii="Arial" w:hAnsi="Arial" w:cs="Arial"/>
          <w:sz w:val="24"/>
          <w:szCs w:val="24"/>
        </w:rPr>
        <w:t>number</w:t>
      </w:r>
      <w:proofErr w:type="gramEnd"/>
      <w:r w:rsidRPr="00F91E98">
        <w:rPr>
          <w:rFonts w:ascii="Arial" w:hAnsi="Arial" w:cs="Arial"/>
          <w:sz w:val="24"/>
          <w:szCs w:val="24"/>
        </w:rPr>
        <w:t xml:space="preserve"> of staff who have yet to complete it are now being targeted to complete it as a training priority by line managers.  Feedback has been largely positive.</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 xml:space="preserve">Module 2 focuses on ‘The Legislation’ and will explore the statutory duties of the Equality Act 2010 </w:t>
      </w:r>
      <w:r w:rsidR="00BF2244">
        <w:rPr>
          <w:rFonts w:ascii="Arial" w:hAnsi="Arial" w:cs="Arial"/>
          <w:sz w:val="24"/>
          <w:szCs w:val="24"/>
        </w:rPr>
        <w:t>for</w:t>
      </w:r>
      <w:r w:rsidR="00BF2244" w:rsidRPr="00F91E98">
        <w:rPr>
          <w:rFonts w:ascii="Arial" w:hAnsi="Arial" w:cs="Arial"/>
          <w:sz w:val="24"/>
          <w:szCs w:val="24"/>
        </w:rPr>
        <w:t xml:space="preserve"> </w:t>
      </w:r>
      <w:r w:rsidRPr="00F91E98">
        <w:rPr>
          <w:rFonts w:ascii="Arial" w:hAnsi="Arial" w:cs="Arial"/>
          <w:sz w:val="24"/>
          <w:szCs w:val="24"/>
        </w:rPr>
        <w:t xml:space="preserve">the </w:t>
      </w:r>
      <w:r w:rsidR="00BF2244">
        <w:rPr>
          <w:rFonts w:ascii="Arial" w:hAnsi="Arial" w:cs="Arial"/>
          <w:sz w:val="24"/>
          <w:szCs w:val="24"/>
        </w:rPr>
        <w:t>C</w:t>
      </w:r>
      <w:r w:rsidRPr="00F91E98">
        <w:rPr>
          <w:rFonts w:ascii="Arial" w:hAnsi="Arial" w:cs="Arial"/>
          <w:sz w:val="24"/>
          <w:szCs w:val="24"/>
        </w:rPr>
        <w:t>ollege and all staff.</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Module 2 has been piloted by learners and staff on the Teacher Training Programme with positive feedback.  It is to be launched in January 2013 with a view to being completed by all staff by March 2013.  Module 3 explores different strategies to support all staff and service users in promoting EDI, challenging discrimination and celebrating differences.  Module 3 is to be completed by the end of the academic year.</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In support of the online training, the EDI Team have developed and delivered a ‘face to face’ training package which has been delivered to staff as part of a cross college Teaching and Learning Fair and through training sessions requested by staff on Teacher Training Programmes.  Further opportunities to deliver training to curriculum areas have been agreed as a priority for 2013 preparation is underway to develop training materials.</w:t>
      </w:r>
    </w:p>
    <w:p w:rsidR="00F91E98" w:rsidRPr="00F91E98" w:rsidRDefault="00F91E98" w:rsidP="00F91E98">
      <w:pPr>
        <w:spacing w:after="0"/>
        <w:rPr>
          <w:rFonts w:ascii="Arial" w:hAnsi="Arial" w:cs="Arial"/>
          <w:sz w:val="24"/>
          <w:szCs w:val="24"/>
        </w:rPr>
      </w:pPr>
    </w:p>
    <w:p w:rsidR="00F91E98" w:rsidRPr="00F91E98" w:rsidRDefault="00F91E98" w:rsidP="00F91E98">
      <w:pPr>
        <w:spacing w:after="0"/>
        <w:rPr>
          <w:rFonts w:ascii="Arial" w:hAnsi="Arial" w:cs="Arial"/>
          <w:sz w:val="24"/>
          <w:szCs w:val="24"/>
        </w:rPr>
      </w:pPr>
      <w:r w:rsidRPr="00F91E98">
        <w:rPr>
          <w:rFonts w:ascii="Arial" w:hAnsi="Arial" w:cs="Arial"/>
          <w:sz w:val="24"/>
          <w:szCs w:val="24"/>
        </w:rPr>
        <w:t xml:space="preserve"> </w:t>
      </w:r>
    </w:p>
    <w:p w:rsidR="00A21CD4" w:rsidRPr="00C21F62" w:rsidRDefault="00771E3E" w:rsidP="00AA783A">
      <w:pPr>
        <w:spacing w:after="0"/>
        <w:rPr>
          <w:rFonts w:ascii="Arial" w:hAnsi="Arial" w:cs="Arial"/>
          <w:b/>
          <w:sz w:val="24"/>
          <w:szCs w:val="24"/>
        </w:rPr>
      </w:pPr>
      <w:r w:rsidRPr="00C21F62">
        <w:rPr>
          <w:rFonts w:ascii="Arial" w:hAnsi="Arial" w:cs="Arial"/>
          <w:b/>
          <w:sz w:val="24"/>
          <w:szCs w:val="24"/>
        </w:rPr>
        <w:t>4</w:t>
      </w:r>
      <w:r w:rsidR="00F91E98" w:rsidRPr="00C21F62">
        <w:rPr>
          <w:rFonts w:ascii="Arial" w:hAnsi="Arial" w:cs="Arial"/>
          <w:b/>
          <w:sz w:val="24"/>
          <w:szCs w:val="24"/>
        </w:rPr>
        <w:t>e</w:t>
      </w:r>
      <w:proofErr w:type="gramStart"/>
      <w:r w:rsidRPr="00C21F62">
        <w:rPr>
          <w:rFonts w:ascii="Arial" w:hAnsi="Arial" w:cs="Arial"/>
          <w:b/>
          <w:sz w:val="24"/>
          <w:szCs w:val="24"/>
        </w:rPr>
        <w:t xml:space="preserve">.  </w:t>
      </w:r>
      <w:r w:rsidR="00551EC2" w:rsidRPr="00C21F62">
        <w:rPr>
          <w:rFonts w:ascii="Arial" w:hAnsi="Arial" w:cs="Arial"/>
          <w:b/>
          <w:sz w:val="24"/>
          <w:szCs w:val="24"/>
        </w:rPr>
        <w:t>Investors</w:t>
      </w:r>
      <w:proofErr w:type="gramEnd"/>
      <w:r w:rsidR="00551EC2" w:rsidRPr="00C21F62">
        <w:rPr>
          <w:rFonts w:ascii="Arial" w:hAnsi="Arial" w:cs="Arial"/>
          <w:b/>
          <w:sz w:val="24"/>
          <w:szCs w:val="24"/>
        </w:rPr>
        <w:t xml:space="preserve"> in Diversity</w:t>
      </w:r>
    </w:p>
    <w:p w:rsidR="00C21F62" w:rsidRDefault="00C21F62" w:rsidP="00056519">
      <w:pPr>
        <w:spacing w:after="0"/>
        <w:rPr>
          <w:rFonts w:ascii="Arial" w:hAnsi="Arial" w:cs="Arial"/>
          <w:sz w:val="24"/>
          <w:szCs w:val="24"/>
        </w:rPr>
      </w:pPr>
    </w:p>
    <w:p w:rsidR="00707289" w:rsidRDefault="00056519" w:rsidP="00056519">
      <w:pPr>
        <w:spacing w:after="0"/>
        <w:rPr>
          <w:rFonts w:ascii="Arial" w:hAnsi="Arial" w:cs="Arial"/>
          <w:sz w:val="24"/>
          <w:szCs w:val="24"/>
        </w:rPr>
      </w:pPr>
      <w:r w:rsidRPr="009B0D63">
        <w:rPr>
          <w:rFonts w:ascii="Arial" w:hAnsi="Arial" w:cs="Arial"/>
          <w:sz w:val="24"/>
          <w:szCs w:val="24"/>
        </w:rPr>
        <w:t xml:space="preserve">The College is working with the National Centre of Diversity, towards achieving the ‘Investors in Diversity’ standard to support the management and embedding of EDI through a planned, holistic and </w:t>
      </w:r>
      <w:r w:rsidR="000554A8" w:rsidRPr="009B0D63">
        <w:rPr>
          <w:rFonts w:ascii="Arial" w:hAnsi="Arial" w:cs="Arial"/>
          <w:sz w:val="24"/>
          <w:szCs w:val="24"/>
        </w:rPr>
        <w:t>c</w:t>
      </w:r>
      <w:r w:rsidRPr="009B0D63">
        <w:rPr>
          <w:rFonts w:ascii="Arial" w:hAnsi="Arial" w:cs="Arial"/>
          <w:sz w:val="24"/>
          <w:szCs w:val="24"/>
        </w:rPr>
        <w:t>onsulta</w:t>
      </w:r>
      <w:r w:rsidR="00D579CE" w:rsidRPr="009B0D63">
        <w:rPr>
          <w:rFonts w:ascii="Arial" w:hAnsi="Arial" w:cs="Arial"/>
          <w:sz w:val="24"/>
          <w:szCs w:val="24"/>
        </w:rPr>
        <w:t>t</w:t>
      </w:r>
      <w:r w:rsidRPr="009B0D63">
        <w:rPr>
          <w:rFonts w:ascii="Arial" w:hAnsi="Arial" w:cs="Arial"/>
          <w:sz w:val="24"/>
          <w:szCs w:val="24"/>
        </w:rPr>
        <w:t xml:space="preserve">ive approach.  </w:t>
      </w:r>
    </w:p>
    <w:p w:rsidR="00707289" w:rsidRDefault="00707289" w:rsidP="00617792">
      <w:pPr>
        <w:spacing w:after="0"/>
        <w:rPr>
          <w:rFonts w:ascii="Arial" w:hAnsi="Arial" w:cs="Arial"/>
          <w:sz w:val="24"/>
          <w:szCs w:val="24"/>
        </w:rPr>
      </w:pPr>
    </w:p>
    <w:p w:rsidR="00707289" w:rsidRDefault="00707289" w:rsidP="00617792">
      <w:pPr>
        <w:spacing w:after="0"/>
        <w:rPr>
          <w:rFonts w:ascii="Arial" w:hAnsi="Arial" w:cs="Arial"/>
          <w:sz w:val="24"/>
          <w:szCs w:val="24"/>
        </w:rPr>
      </w:pPr>
      <w:r>
        <w:rPr>
          <w:rFonts w:ascii="Arial" w:hAnsi="Arial" w:cs="Arial"/>
          <w:sz w:val="24"/>
          <w:szCs w:val="24"/>
        </w:rPr>
        <w:t>Stage 1</w:t>
      </w:r>
      <w:r w:rsidR="000554A8" w:rsidRPr="009B0D63">
        <w:rPr>
          <w:rFonts w:ascii="Arial" w:hAnsi="Arial" w:cs="Arial"/>
          <w:sz w:val="24"/>
          <w:szCs w:val="24"/>
        </w:rPr>
        <w:t xml:space="preserve"> of the journey involved</w:t>
      </w:r>
      <w:r>
        <w:rPr>
          <w:rFonts w:ascii="Arial" w:hAnsi="Arial" w:cs="Arial"/>
          <w:sz w:val="24"/>
          <w:szCs w:val="24"/>
        </w:rPr>
        <w:t xml:space="preserve"> a consultative online survey, the results of which </w:t>
      </w:r>
      <w:r w:rsidR="00BF2244">
        <w:rPr>
          <w:rFonts w:ascii="Arial" w:hAnsi="Arial" w:cs="Arial"/>
          <w:sz w:val="24"/>
          <w:szCs w:val="24"/>
        </w:rPr>
        <w:t>we</w:t>
      </w:r>
      <w:r>
        <w:rPr>
          <w:rFonts w:ascii="Arial" w:hAnsi="Arial" w:cs="Arial"/>
          <w:sz w:val="24"/>
          <w:szCs w:val="24"/>
        </w:rPr>
        <w:t xml:space="preserve">re analysed and used to </w:t>
      </w:r>
      <w:r w:rsidR="00617792" w:rsidRPr="009B0D63">
        <w:rPr>
          <w:rFonts w:ascii="Arial" w:hAnsi="Arial" w:cs="Arial"/>
          <w:sz w:val="24"/>
          <w:szCs w:val="24"/>
        </w:rPr>
        <w:t>inform th</w:t>
      </w:r>
      <w:r>
        <w:rPr>
          <w:rFonts w:ascii="Arial" w:hAnsi="Arial" w:cs="Arial"/>
          <w:sz w:val="24"/>
          <w:szCs w:val="24"/>
        </w:rPr>
        <w:t>e development of an EDI action plan which responds to the needs of the college to achieve an inclusive culture and standards of the highest quality.</w:t>
      </w:r>
    </w:p>
    <w:p w:rsidR="00707289" w:rsidRDefault="00617792" w:rsidP="00617792">
      <w:pPr>
        <w:spacing w:after="0"/>
        <w:rPr>
          <w:rFonts w:ascii="Arial" w:hAnsi="Arial" w:cs="Arial"/>
          <w:sz w:val="24"/>
          <w:szCs w:val="24"/>
        </w:rPr>
      </w:pPr>
      <w:r w:rsidRPr="009B0D63">
        <w:rPr>
          <w:rFonts w:ascii="Arial" w:hAnsi="Arial" w:cs="Arial"/>
          <w:sz w:val="24"/>
          <w:szCs w:val="24"/>
        </w:rPr>
        <w:t xml:space="preserve">  </w:t>
      </w:r>
    </w:p>
    <w:p w:rsidR="00A21CD4" w:rsidRPr="009B0D63" w:rsidRDefault="009B2719" w:rsidP="00A21CD4">
      <w:pPr>
        <w:spacing w:after="0"/>
        <w:rPr>
          <w:rFonts w:ascii="Arial" w:hAnsi="Arial" w:cs="Arial"/>
          <w:sz w:val="24"/>
          <w:szCs w:val="24"/>
        </w:rPr>
      </w:pPr>
      <w:r w:rsidRPr="009B0D63">
        <w:rPr>
          <w:rFonts w:ascii="Arial" w:hAnsi="Arial" w:cs="Arial"/>
          <w:sz w:val="24"/>
          <w:szCs w:val="24"/>
        </w:rPr>
        <w:t xml:space="preserve">The EDI Team, with the support of </w:t>
      </w:r>
      <w:r w:rsidR="00BF2244">
        <w:rPr>
          <w:rFonts w:ascii="Arial" w:hAnsi="Arial" w:cs="Arial"/>
          <w:sz w:val="24"/>
          <w:szCs w:val="24"/>
        </w:rPr>
        <w:t>internal team</w:t>
      </w:r>
      <w:r w:rsidRPr="009B0D63">
        <w:rPr>
          <w:rFonts w:ascii="Arial" w:hAnsi="Arial" w:cs="Arial"/>
          <w:sz w:val="24"/>
          <w:szCs w:val="24"/>
        </w:rPr>
        <w:t>s used a variety of methods to promote</w:t>
      </w:r>
      <w:r w:rsidR="00707289">
        <w:rPr>
          <w:rFonts w:ascii="Arial" w:hAnsi="Arial" w:cs="Arial"/>
          <w:sz w:val="24"/>
          <w:szCs w:val="24"/>
        </w:rPr>
        <w:t xml:space="preserve"> the consultation </w:t>
      </w:r>
      <w:r w:rsidR="00DE2C17" w:rsidRPr="009B0D63">
        <w:rPr>
          <w:rFonts w:ascii="Arial" w:hAnsi="Arial" w:cs="Arial"/>
          <w:sz w:val="24"/>
          <w:szCs w:val="24"/>
        </w:rPr>
        <w:t xml:space="preserve">and the online </w:t>
      </w:r>
      <w:r w:rsidRPr="009B0D63">
        <w:rPr>
          <w:rFonts w:ascii="Arial" w:hAnsi="Arial" w:cs="Arial"/>
          <w:sz w:val="24"/>
          <w:szCs w:val="24"/>
        </w:rPr>
        <w:t xml:space="preserve">surveys </w:t>
      </w:r>
      <w:r w:rsidR="00707289">
        <w:rPr>
          <w:rFonts w:ascii="Arial" w:hAnsi="Arial" w:cs="Arial"/>
          <w:sz w:val="24"/>
          <w:szCs w:val="24"/>
        </w:rPr>
        <w:t xml:space="preserve">via the </w:t>
      </w:r>
      <w:r w:rsidRPr="009B0D63">
        <w:rPr>
          <w:rFonts w:ascii="Arial" w:hAnsi="Arial" w:cs="Arial"/>
          <w:sz w:val="24"/>
          <w:szCs w:val="24"/>
        </w:rPr>
        <w:t>college w</w:t>
      </w:r>
      <w:r w:rsidR="00A21CD4" w:rsidRPr="009B0D63">
        <w:rPr>
          <w:rFonts w:ascii="Arial" w:hAnsi="Arial" w:cs="Arial"/>
          <w:sz w:val="24"/>
          <w:szCs w:val="24"/>
        </w:rPr>
        <w:t xml:space="preserve">ebsite, </w:t>
      </w:r>
      <w:proofErr w:type="spellStart"/>
      <w:r w:rsidR="00A21CD4" w:rsidRPr="009B0D63">
        <w:rPr>
          <w:rFonts w:ascii="Arial" w:hAnsi="Arial" w:cs="Arial"/>
          <w:sz w:val="24"/>
          <w:szCs w:val="24"/>
        </w:rPr>
        <w:t>StaffNet</w:t>
      </w:r>
      <w:proofErr w:type="spellEnd"/>
      <w:r w:rsidR="00A21CD4" w:rsidRPr="009B0D63">
        <w:rPr>
          <w:rFonts w:ascii="Arial" w:hAnsi="Arial" w:cs="Arial"/>
          <w:sz w:val="24"/>
          <w:szCs w:val="24"/>
        </w:rPr>
        <w:t xml:space="preserve">, </w:t>
      </w:r>
      <w:r w:rsidR="00302491" w:rsidRPr="009B0D63">
        <w:rPr>
          <w:rFonts w:ascii="Arial" w:hAnsi="Arial" w:cs="Arial"/>
          <w:sz w:val="24"/>
          <w:szCs w:val="24"/>
        </w:rPr>
        <w:t>C</w:t>
      </w:r>
      <w:r w:rsidR="00A21CD4" w:rsidRPr="009B0D63">
        <w:rPr>
          <w:rFonts w:ascii="Arial" w:hAnsi="Arial" w:cs="Arial"/>
          <w:sz w:val="24"/>
          <w:szCs w:val="24"/>
        </w:rPr>
        <w:t xml:space="preserve">onnect, Twitter </w:t>
      </w:r>
      <w:r w:rsidRPr="009B0D63">
        <w:rPr>
          <w:rFonts w:ascii="Arial" w:hAnsi="Arial" w:cs="Arial"/>
          <w:sz w:val="24"/>
          <w:szCs w:val="24"/>
        </w:rPr>
        <w:t xml:space="preserve">and </w:t>
      </w:r>
      <w:r w:rsidR="00A21CD4" w:rsidRPr="009B0D63">
        <w:rPr>
          <w:rFonts w:ascii="Arial" w:hAnsi="Arial" w:cs="Arial"/>
          <w:sz w:val="24"/>
          <w:szCs w:val="24"/>
        </w:rPr>
        <w:t>Faceb</w:t>
      </w:r>
      <w:r w:rsidR="00302491" w:rsidRPr="009B0D63">
        <w:rPr>
          <w:rFonts w:ascii="Arial" w:hAnsi="Arial" w:cs="Arial"/>
          <w:sz w:val="24"/>
          <w:szCs w:val="24"/>
        </w:rPr>
        <w:t>o</w:t>
      </w:r>
      <w:r w:rsidR="00A21CD4" w:rsidRPr="009B0D63">
        <w:rPr>
          <w:rFonts w:ascii="Arial" w:hAnsi="Arial" w:cs="Arial"/>
          <w:sz w:val="24"/>
          <w:szCs w:val="24"/>
        </w:rPr>
        <w:t>ok.</w:t>
      </w:r>
      <w:r w:rsidR="00DE2C17" w:rsidRPr="009B0D63">
        <w:rPr>
          <w:rFonts w:ascii="Arial" w:hAnsi="Arial" w:cs="Arial"/>
          <w:sz w:val="24"/>
          <w:szCs w:val="24"/>
        </w:rPr>
        <w:t xml:space="preserve">  The links to online surveys </w:t>
      </w:r>
      <w:proofErr w:type="gramStart"/>
      <w:r w:rsidR="00BF2244">
        <w:rPr>
          <w:rFonts w:ascii="Arial" w:hAnsi="Arial" w:cs="Arial"/>
          <w:sz w:val="24"/>
          <w:szCs w:val="24"/>
        </w:rPr>
        <w:t xml:space="preserve">was </w:t>
      </w:r>
      <w:r w:rsidR="00BF2244" w:rsidRPr="009B0D63">
        <w:rPr>
          <w:rFonts w:ascii="Arial" w:hAnsi="Arial" w:cs="Arial"/>
          <w:sz w:val="24"/>
          <w:szCs w:val="24"/>
        </w:rPr>
        <w:t xml:space="preserve"> </w:t>
      </w:r>
      <w:r w:rsidR="00DE2C17" w:rsidRPr="009B0D63">
        <w:rPr>
          <w:rFonts w:ascii="Arial" w:hAnsi="Arial" w:cs="Arial"/>
          <w:sz w:val="24"/>
          <w:szCs w:val="24"/>
        </w:rPr>
        <w:t>promoted</w:t>
      </w:r>
      <w:proofErr w:type="gramEnd"/>
      <w:r w:rsidR="00DE2C17" w:rsidRPr="009B0D63">
        <w:rPr>
          <w:rFonts w:ascii="Arial" w:hAnsi="Arial" w:cs="Arial"/>
          <w:sz w:val="24"/>
          <w:szCs w:val="24"/>
        </w:rPr>
        <w:t xml:space="preserve"> and </w:t>
      </w:r>
      <w:r w:rsidR="00DE2C17" w:rsidRPr="009B0D63">
        <w:rPr>
          <w:rFonts w:ascii="Arial" w:hAnsi="Arial" w:cs="Arial"/>
          <w:sz w:val="24"/>
          <w:szCs w:val="24"/>
        </w:rPr>
        <w:lastRenderedPageBreak/>
        <w:t xml:space="preserve">made available through a combination </w:t>
      </w:r>
      <w:r w:rsidR="00B74048" w:rsidRPr="009B0D63">
        <w:rPr>
          <w:rFonts w:ascii="Arial" w:hAnsi="Arial" w:cs="Arial"/>
          <w:sz w:val="24"/>
          <w:szCs w:val="24"/>
        </w:rPr>
        <w:t>of</w:t>
      </w:r>
      <w:r w:rsidR="00B74048">
        <w:rPr>
          <w:rFonts w:ascii="Arial" w:hAnsi="Arial" w:cs="Arial"/>
          <w:sz w:val="24"/>
          <w:szCs w:val="24"/>
        </w:rPr>
        <w:t xml:space="preserve"> methods</w:t>
      </w:r>
      <w:r w:rsidR="00BF2244">
        <w:rPr>
          <w:rFonts w:ascii="Arial" w:hAnsi="Arial" w:cs="Arial"/>
          <w:sz w:val="24"/>
          <w:szCs w:val="24"/>
        </w:rPr>
        <w:t xml:space="preserve"> </w:t>
      </w:r>
      <w:r w:rsidR="00DE2C17" w:rsidRPr="009B0D63">
        <w:rPr>
          <w:rFonts w:ascii="Arial" w:hAnsi="Arial" w:cs="Arial"/>
          <w:sz w:val="24"/>
          <w:szCs w:val="24"/>
        </w:rPr>
        <w:t>.  The combined strategies proved effective with responses of:</w:t>
      </w:r>
    </w:p>
    <w:p w:rsidR="00707289" w:rsidRDefault="00A21CD4" w:rsidP="00A21CD4">
      <w:pPr>
        <w:spacing w:after="0"/>
        <w:rPr>
          <w:rFonts w:ascii="Arial" w:hAnsi="Arial" w:cs="Arial"/>
          <w:sz w:val="24"/>
          <w:szCs w:val="24"/>
        </w:rPr>
      </w:pPr>
      <w:r w:rsidRPr="009B0D63">
        <w:rPr>
          <w:rFonts w:ascii="Arial" w:hAnsi="Arial" w:cs="Arial"/>
          <w:sz w:val="24"/>
          <w:szCs w:val="24"/>
        </w:rPr>
        <w:t>896 staff</w:t>
      </w:r>
      <w:r w:rsidR="00DE2C17" w:rsidRPr="009B0D63">
        <w:rPr>
          <w:rFonts w:ascii="Arial" w:hAnsi="Arial" w:cs="Arial"/>
          <w:sz w:val="24"/>
          <w:szCs w:val="24"/>
        </w:rPr>
        <w:t xml:space="preserve"> members, </w:t>
      </w:r>
      <w:r w:rsidRPr="009B0D63">
        <w:rPr>
          <w:rFonts w:ascii="Arial" w:hAnsi="Arial" w:cs="Arial"/>
          <w:sz w:val="24"/>
          <w:szCs w:val="24"/>
        </w:rPr>
        <w:t xml:space="preserve">2011 </w:t>
      </w:r>
      <w:r w:rsidR="00DE2C17" w:rsidRPr="009B0D63">
        <w:rPr>
          <w:rFonts w:ascii="Arial" w:hAnsi="Arial" w:cs="Arial"/>
          <w:sz w:val="24"/>
          <w:szCs w:val="24"/>
        </w:rPr>
        <w:t xml:space="preserve">learners and </w:t>
      </w:r>
      <w:r w:rsidRPr="009B0D63">
        <w:rPr>
          <w:rFonts w:ascii="Arial" w:hAnsi="Arial" w:cs="Arial"/>
          <w:sz w:val="24"/>
          <w:szCs w:val="24"/>
        </w:rPr>
        <w:t>22 external stakeholders</w:t>
      </w:r>
      <w:r w:rsidR="00DE2C17" w:rsidRPr="009B0D63">
        <w:rPr>
          <w:rFonts w:ascii="Arial" w:hAnsi="Arial" w:cs="Arial"/>
          <w:sz w:val="24"/>
          <w:szCs w:val="24"/>
        </w:rPr>
        <w:t xml:space="preserve"> in total.</w:t>
      </w:r>
      <w:r w:rsidR="00A26959" w:rsidRPr="009B0D63">
        <w:rPr>
          <w:rFonts w:ascii="Arial" w:hAnsi="Arial" w:cs="Arial"/>
          <w:sz w:val="24"/>
          <w:szCs w:val="24"/>
        </w:rPr>
        <w:t xml:space="preserve">  </w:t>
      </w:r>
    </w:p>
    <w:p w:rsidR="00707289" w:rsidRDefault="00707289" w:rsidP="00A21CD4">
      <w:pPr>
        <w:spacing w:after="0"/>
        <w:rPr>
          <w:rFonts w:ascii="Arial" w:hAnsi="Arial" w:cs="Arial"/>
          <w:sz w:val="24"/>
          <w:szCs w:val="24"/>
        </w:rPr>
      </w:pPr>
    </w:p>
    <w:p w:rsidR="00707289" w:rsidRDefault="00A26959" w:rsidP="00A21CD4">
      <w:pPr>
        <w:spacing w:after="0"/>
        <w:rPr>
          <w:rFonts w:ascii="Arial" w:hAnsi="Arial" w:cs="Arial"/>
          <w:sz w:val="24"/>
          <w:szCs w:val="24"/>
        </w:rPr>
      </w:pPr>
      <w:r w:rsidRPr="009B0D63">
        <w:rPr>
          <w:rFonts w:ascii="Arial" w:hAnsi="Arial" w:cs="Arial"/>
          <w:sz w:val="24"/>
          <w:szCs w:val="24"/>
        </w:rPr>
        <w:t xml:space="preserve">The results of all surveys </w:t>
      </w:r>
      <w:r w:rsidR="00707289">
        <w:rPr>
          <w:rFonts w:ascii="Arial" w:hAnsi="Arial" w:cs="Arial"/>
          <w:sz w:val="24"/>
          <w:szCs w:val="24"/>
        </w:rPr>
        <w:t xml:space="preserve">have been analysed and an action plan is </w:t>
      </w:r>
      <w:r w:rsidR="00BF2244">
        <w:rPr>
          <w:rFonts w:ascii="Arial" w:hAnsi="Arial" w:cs="Arial"/>
          <w:sz w:val="24"/>
          <w:szCs w:val="24"/>
        </w:rPr>
        <w:t xml:space="preserve">currently </w:t>
      </w:r>
      <w:r w:rsidR="00707289">
        <w:rPr>
          <w:rFonts w:ascii="Arial" w:hAnsi="Arial" w:cs="Arial"/>
          <w:sz w:val="24"/>
          <w:szCs w:val="24"/>
        </w:rPr>
        <w:t xml:space="preserve">being developed. </w:t>
      </w:r>
    </w:p>
    <w:p w:rsidR="00A21CD4" w:rsidRDefault="00A21CD4" w:rsidP="00A21CD4">
      <w:pPr>
        <w:spacing w:after="0"/>
        <w:rPr>
          <w:rFonts w:ascii="Arial" w:hAnsi="Arial" w:cs="Arial"/>
          <w:sz w:val="24"/>
          <w:szCs w:val="24"/>
        </w:rPr>
      </w:pPr>
    </w:p>
    <w:p w:rsidR="00C21F62" w:rsidRDefault="00C21F62" w:rsidP="00A21CD4">
      <w:pPr>
        <w:spacing w:after="0"/>
        <w:rPr>
          <w:rFonts w:ascii="Arial" w:hAnsi="Arial" w:cs="Arial"/>
          <w:sz w:val="24"/>
          <w:szCs w:val="24"/>
        </w:rPr>
      </w:pPr>
    </w:p>
    <w:p w:rsidR="003E1D77" w:rsidRPr="00C21F62" w:rsidRDefault="00F91E98" w:rsidP="00A21CD4">
      <w:pPr>
        <w:spacing w:after="0"/>
        <w:rPr>
          <w:rFonts w:ascii="Arial" w:hAnsi="Arial" w:cs="Arial"/>
          <w:b/>
          <w:sz w:val="24"/>
          <w:szCs w:val="24"/>
        </w:rPr>
      </w:pPr>
      <w:r w:rsidRPr="00C21F62">
        <w:rPr>
          <w:rFonts w:ascii="Arial" w:hAnsi="Arial" w:cs="Arial"/>
          <w:b/>
          <w:sz w:val="24"/>
          <w:szCs w:val="24"/>
        </w:rPr>
        <w:t>4f</w:t>
      </w:r>
      <w:proofErr w:type="gramStart"/>
      <w:r w:rsidRPr="00C21F62">
        <w:rPr>
          <w:rFonts w:ascii="Arial" w:hAnsi="Arial" w:cs="Arial"/>
          <w:b/>
          <w:sz w:val="24"/>
          <w:szCs w:val="24"/>
        </w:rPr>
        <w:t xml:space="preserve">.  </w:t>
      </w:r>
      <w:r w:rsidR="003E1D77" w:rsidRPr="00C21F62">
        <w:rPr>
          <w:rFonts w:ascii="Arial" w:hAnsi="Arial" w:cs="Arial"/>
          <w:b/>
          <w:sz w:val="24"/>
          <w:szCs w:val="24"/>
        </w:rPr>
        <w:t>Action</w:t>
      </w:r>
      <w:proofErr w:type="gramEnd"/>
      <w:r w:rsidR="003E1D77" w:rsidRPr="00C21F62">
        <w:rPr>
          <w:rFonts w:ascii="Arial" w:hAnsi="Arial" w:cs="Arial"/>
          <w:b/>
          <w:sz w:val="24"/>
          <w:szCs w:val="24"/>
        </w:rPr>
        <w:t xml:space="preserve"> Planning</w:t>
      </w:r>
    </w:p>
    <w:p w:rsidR="00C21F62" w:rsidRDefault="00C21F62" w:rsidP="00A21CD4">
      <w:pPr>
        <w:spacing w:after="0"/>
        <w:rPr>
          <w:rFonts w:ascii="Arial" w:hAnsi="Arial" w:cs="Arial"/>
          <w:sz w:val="24"/>
          <w:szCs w:val="24"/>
        </w:rPr>
      </w:pPr>
    </w:p>
    <w:p w:rsidR="003E1D77" w:rsidRDefault="003E1D77" w:rsidP="00A21CD4">
      <w:pPr>
        <w:spacing w:after="0"/>
        <w:rPr>
          <w:rFonts w:ascii="Arial" w:hAnsi="Arial" w:cs="Arial"/>
          <w:sz w:val="24"/>
          <w:szCs w:val="24"/>
        </w:rPr>
      </w:pPr>
      <w:r>
        <w:rPr>
          <w:rFonts w:ascii="Arial" w:hAnsi="Arial" w:cs="Arial"/>
          <w:sz w:val="24"/>
          <w:szCs w:val="24"/>
        </w:rPr>
        <w:t>The EDI Team and V</w:t>
      </w:r>
      <w:r w:rsidR="00BF2244">
        <w:rPr>
          <w:rFonts w:ascii="Arial" w:hAnsi="Arial" w:cs="Arial"/>
          <w:sz w:val="24"/>
          <w:szCs w:val="24"/>
        </w:rPr>
        <w:t xml:space="preserve">ice </w:t>
      </w:r>
      <w:r>
        <w:rPr>
          <w:rFonts w:ascii="Arial" w:hAnsi="Arial" w:cs="Arial"/>
          <w:sz w:val="24"/>
          <w:szCs w:val="24"/>
        </w:rPr>
        <w:t>P</w:t>
      </w:r>
      <w:r w:rsidR="00BF2244">
        <w:rPr>
          <w:rFonts w:ascii="Arial" w:hAnsi="Arial" w:cs="Arial"/>
          <w:sz w:val="24"/>
          <w:szCs w:val="24"/>
        </w:rPr>
        <w:t>rincipal for</w:t>
      </w:r>
      <w:r>
        <w:rPr>
          <w:rFonts w:ascii="Arial" w:hAnsi="Arial" w:cs="Arial"/>
          <w:sz w:val="24"/>
          <w:szCs w:val="24"/>
        </w:rPr>
        <w:t xml:space="preserve"> Organisational Development are currently developing an action plan based on the findings of the college </w:t>
      </w:r>
      <w:r w:rsidR="00B74048">
        <w:rPr>
          <w:rFonts w:ascii="Arial" w:hAnsi="Arial" w:cs="Arial"/>
          <w:sz w:val="24"/>
          <w:szCs w:val="24"/>
        </w:rPr>
        <w:t>Self-Assessment</w:t>
      </w:r>
      <w:r w:rsidR="00BF2244">
        <w:rPr>
          <w:rFonts w:ascii="Arial" w:hAnsi="Arial" w:cs="Arial"/>
          <w:sz w:val="24"/>
          <w:szCs w:val="24"/>
        </w:rPr>
        <w:t xml:space="preserve"> </w:t>
      </w:r>
      <w:r>
        <w:rPr>
          <w:rFonts w:ascii="Arial" w:hAnsi="Arial" w:cs="Arial"/>
          <w:sz w:val="24"/>
          <w:szCs w:val="24"/>
        </w:rPr>
        <w:t>R</w:t>
      </w:r>
      <w:r w:rsidR="00BF2244">
        <w:rPr>
          <w:rFonts w:ascii="Arial" w:hAnsi="Arial" w:cs="Arial"/>
          <w:sz w:val="24"/>
          <w:szCs w:val="24"/>
        </w:rPr>
        <w:t>eport</w:t>
      </w:r>
      <w:r>
        <w:rPr>
          <w:rFonts w:ascii="Arial" w:hAnsi="Arial" w:cs="Arial"/>
          <w:sz w:val="24"/>
          <w:szCs w:val="24"/>
        </w:rPr>
        <w:t xml:space="preserve"> and the results of the </w:t>
      </w:r>
      <w:proofErr w:type="spellStart"/>
      <w:r>
        <w:rPr>
          <w:rFonts w:ascii="Arial" w:hAnsi="Arial" w:cs="Arial"/>
          <w:sz w:val="24"/>
          <w:szCs w:val="24"/>
        </w:rPr>
        <w:t>IiD</w:t>
      </w:r>
      <w:proofErr w:type="spellEnd"/>
      <w:r>
        <w:rPr>
          <w:rFonts w:ascii="Arial" w:hAnsi="Arial" w:cs="Arial"/>
          <w:sz w:val="24"/>
          <w:szCs w:val="24"/>
        </w:rPr>
        <w:t xml:space="preserve"> surveys.  Priorities identified compliment the key objectives which were published in April 2012 </w:t>
      </w:r>
      <w:r w:rsidR="00BF2244">
        <w:rPr>
          <w:rFonts w:ascii="Arial" w:hAnsi="Arial" w:cs="Arial"/>
          <w:sz w:val="24"/>
          <w:szCs w:val="24"/>
        </w:rPr>
        <w:t>and include</w:t>
      </w:r>
      <w:r>
        <w:rPr>
          <w:rFonts w:ascii="Arial" w:hAnsi="Arial" w:cs="Arial"/>
          <w:sz w:val="24"/>
          <w:szCs w:val="24"/>
        </w:rPr>
        <w:t>:</w:t>
      </w:r>
    </w:p>
    <w:p w:rsidR="003E1D77" w:rsidRDefault="003E1D77" w:rsidP="00A21CD4">
      <w:pPr>
        <w:spacing w:after="0"/>
        <w:rPr>
          <w:rFonts w:ascii="Arial" w:hAnsi="Arial" w:cs="Arial"/>
          <w:sz w:val="24"/>
          <w:szCs w:val="24"/>
        </w:rPr>
      </w:pPr>
    </w:p>
    <w:p w:rsidR="003760D4" w:rsidRPr="00BE0100" w:rsidRDefault="00AA3887" w:rsidP="00BE0100">
      <w:pPr>
        <w:pStyle w:val="ListParagraph"/>
        <w:numPr>
          <w:ilvl w:val="0"/>
          <w:numId w:val="29"/>
        </w:numPr>
        <w:spacing w:after="0"/>
        <w:rPr>
          <w:rFonts w:ascii="Arial" w:hAnsi="Arial" w:cs="Arial"/>
          <w:sz w:val="24"/>
          <w:szCs w:val="24"/>
        </w:rPr>
      </w:pPr>
      <w:r w:rsidRPr="00BE0100">
        <w:rPr>
          <w:rFonts w:ascii="Arial" w:hAnsi="Arial" w:cs="Arial"/>
          <w:sz w:val="24"/>
          <w:szCs w:val="24"/>
        </w:rPr>
        <w:t xml:space="preserve">To develop and implement a curriculum EDI plan to address differences in success rates between racial groups to </w:t>
      </w:r>
      <w:r w:rsidR="00BF2244">
        <w:rPr>
          <w:rFonts w:ascii="Arial" w:hAnsi="Arial" w:cs="Arial"/>
          <w:sz w:val="24"/>
          <w:szCs w:val="24"/>
        </w:rPr>
        <w:t xml:space="preserve">at least </w:t>
      </w:r>
      <w:r w:rsidRPr="00BE0100">
        <w:rPr>
          <w:rFonts w:ascii="Arial" w:hAnsi="Arial" w:cs="Arial"/>
          <w:sz w:val="24"/>
          <w:szCs w:val="24"/>
        </w:rPr>
        <w:t>national average.</w:t>
      </w:r>
    </w:p>
    <w:p w:rsidR="003E1D77" w:rsidRDefault="003E1D77" w:rsidP="00A21CD4">
      <w:pPr>
        <w:spacing w:after="0"/>
        <w:rPr>
          <w:rFonts w:ascii="Arial" w:hAnsi="Arial" w:cs="Arial"/>
          <w:sz w:val="24"/>
          <w:szCs w:val="24"/>
        </w:rPr>
      </w:pPr>
    </w:p>
    <w:p w:rsidR="003E1D77" w:rsidRDefault="00BE0100" w:rsidP="00BE0100">
      <w:pPr>
        <w:pStyle w:val="ListParagraph"/>
        <w:numPr>
          <w:ilvl w:val="0"/>
          <w:numId w:val="29"/>
        </w:numPr>
        <w:spacing w:after="0"/>
        <w:rPr>
          <w:rFonts w:ascii="Arial" w:hAnsi="Arial" w:cs="Arial"/>
          <w:sz w:val="24"/>
          <w:szCs w:val="24"/>
        </w:rPr>
      </w:pPr>
      <w:r w:rsidRPr="00BE0100">
        <w:rPr>
          <w:rFonts w:ascii="Arial" w:hAnsi="Arial" w:cs="Arial"/>
          <w:sz w:val="24"/>
          <w:szCs w:val="24"/>
        </w:rPr>
        <w:t>To establish a clear and consistent communication strategy to actively promote EDI messages and the college commitment to inclusive practices.</w:t>
      </w:r>
    </w:p>
    <w:p w:rsidR="00370A0C" w:rsidRDefault="00370A0C" w:rsidP="004D12DB">
      <w:pPr>
        <w:pStyle w:val="ListParagraph"/>
        <w:spacing w:after="0"/>
        <w:rPr>
          <w:rFonts w:ascii="Arial" w:hAnsi="Arial" w:cs="Arial"/>
          <w:sz w:val="24"/>
          <w:szCs w:val="24"/>
        </w:rPr>
      </w:pPr>
    </w:p>
    <w:p w:rsidR="00370A0C" w:rsidRPr="00BE0100" w:rsidRDefault="00370A0C" w:rsidP="00BE0100">
      <w:pPr>
        <w:pStyle w:val="ListParagraph"/>
        <w:numPr>
          <w:ilvl w:val="0"/>
          <w:numId w:val="29"/>
        </w:numPr>
        <w:spacing w:after="0"/>
        <w:rPr>
          <w:rFonts w:ascii="Arial" w:hAnsi="Arial" w:cs="Arial"/>
          <w:sz w:val="24"/>
          <w:szCs w:val="24"/>
        </w:rPr>
      </w:pPr>
      <w:r>
        <w:rPr>
          <w:rFonts w:ascii="Arial" w:hAnsi="Arial" w:cs="Arial"/>
          <w:sz w:val="24"/>
          <w:szCs w:val="24"/>
        </w:rPr>
        <w:t>To work with Curriculum Groups to support confidence in embedding Equality and Diversity within the classroom.</w:t>
      </w:r>
    </w:p>
    <w:p w:rsidR="00BE0100" w:rsidRDefault="00BE0100" w:rsidP="00A21CD4">
      <w:pPr>
        <w:spacing w:after="0"/>
        <w:rPr>
          <w:rFonts w:ascii="Arial" w:hAnsi="Arial" w:cs="Arial"/>
          <w:sz w:val="24"/>
          <w:szCs w:val="24"/>
        </w:rPr>
      </w:pPr>
    </w:p>
    <w:p w:rsidR="00BE0100" w:rsidRPr="00BE0100" w:rsidRDefault="00BE0100" w:rsidP="00BE0100">
      <w:pPr>
        <w:pStyle w:val="ListParagraph"/>
        <w:numPr>
          <w:ilvl w:val="0"/>
          <w:numId w:val="29"/>
        </w:numPr>
        <w:spacing w:after="0"/>
        <w:rPr>
          <w:rFonts w:ascii="Arial" w:hAnsi="Arial" w:cs="Arial"/>
          <w:sz w:val="24"/>
          <w:szCs w:val="24"/>
        </w:rPr>
      </w:pPr>
      <w:r w:rsidRPr="00BE0100">
        <w:rPr>
          <w:rFonts w:ascii="Arial" w:hAnsi="Arial" w:cs="Arial"/>
          <w:sz w:val="24"/>
          <w:szCs w:val="24"/>
        </w:rPr>
        <w:t xml:space="preserve">Ensure </w:t>
      </w:r>
      <w:proofErr w:type="gramStart"/>
      <w:r w:rsidRPr="00BE0100">
        <w:rPr>
          <w:rFonts w:ascii="Arial" w:hAnsi="Arial" w:cs="Arial"/>
          <w:sz w:val="24"/>
          <w:szCs w:val="24"/>
        </w:rPr>
        <w:t>staff receive</w:t>
      </w:r>
      <w:proofErr w:type="gramEnd"/>
      <w:r w:rsidRPr="00BE0100">
        <w:rPr>
          <w:rFonts w:ascii="Arial" w:hAnsi="Arial" w:cs="Arial"/>
          <w:sz w:val="24"/>
          <w:szCs w:val="24"/>
        </w:rPr>
        <w:t xml:space="preserve"> appropriate training to support and develop </w:t>
      </w:r>
      <w:r w:rsidR="00B74048">
        <w:rPr>
          <w:rFonts w:ascii="Arial" w:hAnsi="Arial" w:cs="Arial"/>
          <w:sz w:val="24"/>
          <w:szCs w:val="24"/>
        </w:rPr>
        <w:t xml:space="preserve">their </w:t>
      </w:r>
      <w:r w:rsidR="00D00238" w:rsidRPr="00BE0100">
        <w:rPr>
          <w:rFonts w:ascii="Arial" w:hAnsi="Arial" w:cs="Arial"/>
          <w:sz w:val="24"/>
          <w:szCs w:val="24"/>
        </w:rPr>
        <w:t>understandi</w:t>
      </w:r>
      <w:r w:rsidR="00D00238">
        <w:rPr>
          <w:rFonts w:ascii="Arial" w:hAnsi="Arial" w:cs="Arial"/>
          <w:sz w:val="24"/>
          <w:szCs w:val="24"/>
        </w:rPr>
        <w:t>ng</w:t>
      </w:r>
      <w:r w:rsidRPr="00BE0100">
        <w:rPr>
          <w:rFonts w:ascii="Arial" w:hAnsi="Arial" w:cs="Arial"/>
          <w:sz w:val="24"/>
          <w:szCs w:val="24"/>
        </w:rPr>
        <w:t xml:space="preserve"> of key responsibilities and practical strategies in promoting EDI and sustaining an inclusive organisational culture.  </w:t>
      </w:r>
    </w:p>
    <w:p w:rsidR="00A21CD4" w:rsidRDefault="00A21CD4" w:rsidP="00A21CD4">
      <w:pPr>
        <w:spacing w:after="0"/>
        <w:rPr>
          <w:rFonts w:ascii="Arial" w:hAnsi="Arial" w:cs="Arial"/>
          <w:sz w:val="24"/>
          <w:szCs w:val="24"/>
        </w:rPr>
      </w:pPr>
    </w:p>
    <w:p w:rsidR="00C21F62" w:rsidRPr="009B0D63" w:rsidRDefault="00C21F62" w:rsidP="00A21CD4">
      <w:pPr>
        <w:spacing w:after="0"/>
        <w:rPr>
          <w:rFonts w:ascii="Arial" w:hAnsi="Arial" w:cs="Arial"/>
          <w:sz w:val="24"/>
          <w:szCs w:val="24"/>
        </w:rPr>
      </w:pPr>
    </w:p>
    <w:p w:rsidR="008E5670" w:rsidRPr="00C21F62" w:rsidRDefault="00360217" w:rsidP="008E5670">
      <w:pPr>
        <w:rPr>
          <w:rFonts w:ascii="Arial" w:hAnsi="Arial" w:cs="Arial"/>
          <w:b/>
          <w:sz w:val="24"/>
          <w:szCs w:val="24"/>
        </w:rPr>
      </w:pPr>
      <w:r w:rsidRPr="00C21F62">
        <w:rPr>
          <w:rFonts w:ascii="Arial" w:hAnsi="Arial" w:cs="Arial"/>
          <w:b/>
          <w:sz w:val="24"/>
          <w:szCs w:val="24"/>
        </w:rPr>
        <w:t>4</w:t>
      </w:r>
      <w:r w:rsidR="00F91E98" w:rsidRPr="00C21F62">
        <w:rPr>
          <w:rFonts w:ascii="Arial" w:hAnsi="Arial" w:cs="Arial"/>
          <w:b/>
          <w:sz w:val="24"/>
          <w:szCs w:val="24"/>
        </w:rPr>
        <w:t>g</w:t>
      </w:r>
      <w:proofErr w:type="gramStart"/>
      <w:r w:rsidR="00F91E98" w:rsidRPr="00C21F62">
        <w:rPr>
          <w:rFonts w:ascii="Arial" w:hAnsi="Arial" w:cs="Arial"/>
          <w:b/>
          <w:sz w:val="24"/>
          <w:szCs w:val="24"/>
        </w:rPr>
        <w:t>.</w:t>
      </w:r>
      <w:r w:rsidRPr="00C21F62">
        <w:rPr>
          <w:rFonts w:ascii="Arial" w:hAnsi="Arial" w:cs="Arial"/>
          <w:b/>
          <w:sz w:val="24"/>
          <w:szCs w:val="24"/>
        </w:rPr>
        <w:t xml:space="preserve">  Fair</w:t>
      </w:r>
      <w:proofErr w:type="gramEnd"/>
      <w:r w:rsidRPr="00C21F62">
        <w:rPr>
          <w:rFonts w:ascii="Arial" w:hAnsi="Arial" w:cs="Arial"/>
          <w:b/>
          <w:sz w:val="24"/>
          <w:szCs w:val="24"/>
        </w:rPr>
        <w:t xml:space="preserve"> Futures Programme</w:t>
      </w:r>
    </w:p>
    <w:p w:rsidR="00360217" w:rsidRPr="00360217" w:rsidRDefault="00360217" w:rsidP="00360217">
      <w:pPr>
        <w:rPr>
          <w:rFonts w:ascii="Arial" w:hAnsi="Arial" w:cs="Arial"/>
          <w:sz w:val="24"/>
          <w:szCs w:val="24"/>
        </w:rPr>
      </w:pPr>
      <w:r w:rsidRPr="00360217">
        <w:rPr>
          <w:rFonts w:ascii="Arial" w:hAnsi="Arial" w:cs="Arial"/>
          <w:sz w:val="24"/>
          <w:szCs w:val="24"/>
        </w:rPr>
        <w:t>“Opening doors to a diverse workforce”</w:t>
      </w:r>
    </w:p>
    <w:p w:rsidR="00360217" w:rsidRPr="00360217" w:rsidRDefault="00360217" w:rsidP="00360217">
      <w:pPr>
        <w:rPr>
          <w:rFonts w:ascii="Arial" w:hAnsi="Arial" w:cs="Arial"/>
          <w:sz w:val="24"/>
          <w:szCs w:val="24"/>
        </w:rPr>
      </w:pPr>
      <w:r w:rsidRPr="00360217">
        <w:rPr>
          <w:rFonts w:ascii="Arial" w:hAnsi="Arial" w:cs="Arial"/>
          <w:sz w:val="24"/>
          <w:szCs w:val="24"/>
        </w:rPr>
        <w:t>The Fair Futures pro</w:t>
      </w:r>
      <w:r>
        <w:rPr>
          <w:rFonts w:ascii="Arial" w:hAnsi="Arial" w:cs="Arial"/>
          <w:sz w:val="24"/>
          <w:szCs w:val="24"/>
        </w:rPr>
        <w:t>gramme</w:t>
      </w:r>
      <w:r w:rsidRPr="00360217">
        <w:rPr>
          <w:rFonts w:ascii="Arial" w:hAnsi="Arial" w:cs="Arial"/>
          <w:sz w:val="24"/>
          <w:szCs w:val="24"/>
        </w:rPr>
        <w:t xml:space="preserve"> is about opening doors to new opportunities for individuals who are at times not expected to succeed or receive support beyond </w:t>
      </w:r>
      <w:r w:rsidR="00370A0C">
        <w:rPr>
          <w:rFonts w:ascii="Arial" w:hAnsi="Arial" w:cs="Arial"/>
          <w:sz w:val="24"/>
          <w:szCs w:val="24"/>
        </w:rPr>
        <w:t>the C</w:t>
      </w:r>
      <w:r w:rsidRPr="00360217">
        <w:rPr>
          <w:rFonts w:ascii="Arial" w:hAnsi="Arial" w:cs="Arial"/>
          <w:sz w:val="24"/>
          <w:szCs w:val="24"/>
        </w:rPr>
        <w:t xml:space="preserve">ollege. It aims to support learner progression by providing high quality personalised work placements as part of an employment pathway.  </w:t>
      </w:r>
    </w:p>
    <w:p w:rsidR="00360217" w:rsidRPr="00360217" w:rsidRDefault="00360217" w:rsidP="00360217">
      <w:pPr>
        <w:rPr>
          <w:rFonts w:ascii="Arial" w:hAnsi="Arial" w:cs="Arial"/>
          <w:sz w:val="24"/>
          <w:szCs w:val="24"/>
        </w:rPr>
      </w:pPr>
      <w:r w:rsidRPr="00360217">
        <w:rPr>
          <w:rFonts w:ascii="Arial" w:hAnsi="Arial" w:cs="Arial"/>
          <w:sz w:val="24"/>
          <w:szCs w:val="24"/>
        </w:rPr>
        <w:t>The pro</w:t>
      </w:r>
      <w:r>
        <w:rPr>
          <w:rFonts w:ascii="Arial" w:hAnsi="Arial" w:cs="Arial"/>
          <w:sz w:val="24"/>
          <w:szCs w:val="24"/>
        </w:rPr>
        <w:t xml:space="preserve">gramme </w:t>
      </w:r>
      <w:r w:rsidRPr="00360217">
        <w:rPr>
          <w:rFonts w:ascii="Arial" w:hAnsi="Arial" w:cs="Arial"/>
          <w:sz w:val="24"/>
          <w:szCs w:val="24"/>
        </w:rPr>
        <w:t>aims to provide College based placements during the first year to a) deliver and pilot and b) overcome barriers and perceptions that college staff may have about the abilities of learners with physical and learning disabilities and those who have social, emotional and behavioural difficulties.</w:t>
      </w:r>
    </w:p>
    <w:p w:rsidR="00360217" w:rsidRPr="009B0D63" w:rsidRDefault="00360217" w:rsidP="00360217">
      <w:pPr>
        <w:rPr>
          <w:rFonts w:ascii="Arial" w:hAnsi="Arial" w:cs="Arial"/>
          <w:sz w:val="24"/>
          <w:szCs w:val="24"/>
        </w:rPr>
      </w:pPr>
      <w:r w:rsidRPr="00360217">
        <w:rPr>
          <w:rFonts w:ascii="Arial" w:hAnsi="Arial" w:cs="Arial"/>
          <w:sz w:val="24"/>
          <w:szCs w:val="24"/>
        </w:rPr>
        <w:lastRenderedPageBreak/>
        <w:t>The long-term aim is to use the lessons learnt from in</w:t>
      </w:r>
      <w:r w:rsidR="00370A0C">
        <w:rPr>
          <w:rFonts w:ascii="Arial" w:hAnsi="Arial" w:cs="Arial"/>
          <w:sz w:val="24"/>
          <w:szCs w:val="24"/>
        </w:rPr>
        <w:t>-</w:t>
      </w:r>
      <w:r w:rsidRPr="00360217">
        <w:rPr>
          <w:rFonts w:ascii="Arial" w:hAnsi="Arial" w:cs="Arial"/>
          <w:sz w:val="24"/>
          <w:szCs w:val="24"/>
        </w:rPr>
        <w:t>college placements to establish and sustain external placements with local employers, providing support packages to help both learner and employers work together equitably.</w:t>
      </w:r>
    </w:p>
    <w:p w:rsidR="00122DA7" w:rsidRDefault="00122DA7" w:rsidP="005B6EE1">
      <w:pPr>
        <w:rPr>
          <w:rFonts w:ascii="Arial" w:hAnsi="Arial" w:cs="Arial"/>
          <w:sz w:val="24"/>
          <w:szCs w:val="24"/>
        </w:rPr>
      </w:pPr>
      <w:r>
        <w:rPr>
          <w:rFonts w:ascii="Arial" w:hAnsi="Arial" w:cs="Arial"/>
          <w:sz w:val="24"/>
          <w:szCs w:val="24"/>
        </w:rPr>
        <w:t xml:space="preserve">The programme has been developed by the EDI Team in response to </w:t>
      </w:r>
      <w:r w:rsidR="005B6EE1" w:rsidRPr="005B6EE1">
        <w:rPr>
          <w:rFonts w:ascii="Arial" w:hAnsi="Arial" w:cs="Arial"/>
          <w:sz w:val="24"/>
          <w:szCs w:val="24"/>
        </w:rPr>
        <w:t>Government priorities and published research highlight</w:t>
      </w:r>
      <w:r>
        <w:rPr>
          <w:rFonts w:ascii="Arial" w:hAnsi="Arial" w:cs="Arial"/>
          <w:sz w:val="24"/>
          <w:szCs w:val="24"/>
        </w:rPr>
        <w:t>ing</w:t>
      </w:r>
      <w:r w:rsidR="005B6EE1" w:rsidRPr="005B6EE1">
        <w:rPr>
          <w:rFonts w:ascii="Arial" w:hAnsi="Arial" w:cs="Arial"/>
          <w:sz w:val="24"/>
          <w:szCs w:val="24"/>
        </w:rPr>
        <w:t xml:space="preserve"> both national and regional agendas for supporting young people who face the greatest labour market disadvantage.   Less than 47% of disabled people are in work (2011) with the most disadvantaged groups (those with employment rates less than 25%) identified as people with learning disabilities, young disabled </w:t>
      </w:r>
      <w:r w:rsidR="00370A0C">
        <w:rPr>
          <w:rFonts w:ascii="Arial" w:hAnsi="Arial" w:cs="Arial"/>
          <w:sz w:val="24"/>
          <w:szCs w:val="24"/>
        </w:rPr>
        <w:t>Not in Employment, Education or Training (</w:t>
      </w:r>
      <w:r w:rsidR="005B6EE1" w:rsidRPr="005B6EE1">
        <w:rPr>
          <w:rFonts w:ascii="Arial" w:hAnsi="Arial" w:cs="Arial"/>
          <w:sz w:val="24"/>
          <w:szCs w:val="24"/>
        </w:rPr>
        <w:t>NEETS</w:t>
      </w:r>
      <w:r w:rsidR="00370A0C">
        <w:rPr>
          <w:rFonts w:ascii="Arial" w:hAnsi="Arial" w:cs="Arial"/>
          <w:sz w:val="24"/>
          <w:szCs w:val="24"/>
        </w:rPr>
        <w:t>)</w:t>
      </w:r>
      <w:r w:rsidR="005B6EE1" w:rsidRPr="005B6EE1">
        <w:rPr>
          <w:rFonts w:ascii="Arial" w:hAnsi="Arial" w:cs="Arial"/>
          <w:sz w:val="24"/>
          <w:szCs w:val="24"/>
        </w:rPr>
        <w:t xml:space="preserve"> and those people with serious mental health problems. </w:t>
      </w:r>
    </w:p>
    <w:p w:rsidR="008E5670" w:rsidRDefault="005B6EE1" w:rsidP="005B6EE1">
      <w:pPr>
        <w:rPr>
          <w:rFonts w:ascii="Arial" w:hAnsi="Arial" w:cs="Arial"/>
          <w:sz w:val="24"/>
          <w:szCs w:val="24"/>
        </w:rPr>
      </w:pPr>
      <w:r w:rsidRPr="005B6EE1">
        <w:rPr>
          <w:rFonts w:ascii="Arial" w:hAnsi="Arial" w:cs="Arial"/>
          <w:sz w:val="24"/>
          <w:szCs w:val="24"/>
        </w:rPr>
        <w:t>It is recognised that work related learning and experience has a key role to play in providing practical support for young people to become and remain engaged. The pro</w:t>
      </w:r>
      <w:r w:rsidR="00122DA7">
        <w:rPr>
          <w:rFonts w:ascii="Arial" w:hAnsi="Arial" w:cs="Arial"/>
          <w:sz w:val="24"/>
          <w:szCs w:val="24"/>
        </w:rPr>
        <w:t xml:space="preserve">gramme </w:t>
      </w:r>
      <w:r w:rsidRPr="005B6EE1">
        <w:rPr>
          <w:rFonts w:ascii="Arial" w:hAnsi="Arial" w:cs="Arial"/>
          <w:sz w:val="24"/>
          <w:szCs w:val="24"/>
        </w:rPr>
        <w:t>supports the E</w:t>
      </w:r>
      <w:r w:rsidR="00122DA7">
        <w:rPr>
          <w:rFonts w:ascii="Arial" w:hAnsi="Arial" w:cs="Arial"/>
          <w:sz w:val="24"/>
          <w:szCs w:val="24"/>
        </w:rPr>
        <w:t>DI</w:t>
      </w:r>
      <w:r w:rsidRPr="005B6EE1">
        <w:rPr>
          <w:rFonts w:ascii="Arial" w:hAnsi="Arial" w:cs="Arial"/>
          <w:sz w:val="24"/>
          <w:szCs w:val="24"/>
        </w:rPr>
        <w:t xml:space="preserve"> agenda of the College as well as the regional and national Equality agenda.</w:t>
      </w:r>
    </w:p>
    <w:p w:rsidR="00122DA7" w:rsidRDefault="00122DA7" w:rsidP="005B6EE1">
      <w:pPr>
        <w:rPr>
          <w:rFonts w:ascii="Arial" w:hAnsi="Arial" w:cs="Arial"/>
          <w:sz w:val="24"/>
          <w:szCs w:val="24"/>
        </w:rPr>
      </w:pPr>
      <w:r>
        <w:rPr>
          <w:rFonts w:ascii="Arial" w:hAnsi="Arial" w:cs="Arial"/>
          <w:sz w:val="24"/>
          <w:szCs w:val="24"/>
        </w:rPr>
        <w:t xml:space="preserve">The programme will </w:t>
      </w:r>
      <w:r w:rsidR="00370A0C">
        <w:rPr>
          <w:rFonts w:ascii="Arial" w:hAnsi="Arial" w:cs="Arial"/>
          <w:sz w:val="24"/>
          <w:szCs w:val="24"/>
        </w:rPr>
        <w:t xml:space="preserve">roll out from </w:t>
      </w:r>
      <w:r>
        <w:rPr>
          <w:rFonts w:ascii="Arial" w:hAnsi="Arial" w:cs="Arial"/>
          <w:sz w:val="24"/>
          <w:szCs w:val="24"/>
        </w:rPr>
        <w:t>September 2013.</w:t>
      </w:r>
    </w:p>
    <w:p w:rsidR="00B74048" w:rsidRPr="009B0D63" w:rsidRDefault="00B74048" w:rsidP="005B6EE1">
      <w:pPr>
        <w:rPr>
          <w:rFonts w:ascii="Arial" w:hAnsi="Arial" w:cs="Arial"/>
          <w:sz w:val="24"/>
          <w:szCs w:val="24"/>
        </w:rPr>
      </w:pPr>
    </w:p>
    <w:p w:rsidR="00B31A87" w:rsidRDefault="005F29D8" w:rsidP="00B74048">
      <w:pPr>
        <w:rPr>
          <w:rFonts w:ascii="Arial" w:hAnsi="Arial" w:cs="Arial"/>
          <w:b/>
          <w:sz w:val="24"/>
          <w:szCs w:val="24"/>
        </w:rPr>
      </w:pPr>
      <w:r w:rsidRPr="00A24008">
        <w:rPr>
          <w:rFonts w:ascii="Arial" w:hAnsi="Arial" w:cs="Arial"/>
          <w:b/>
          <w:sz w:val="24"/>
          <w:szCs w:val="24"/>
        </w:rPr>
        <w:t>4h. Incidences of bullying and harassment</w:t>
      </w:r>
    </w:p>
    <w:p w:rsidR="00A24008" w:rsidRPr="00A24008" w:rsidRDefault="00A24008" w:rsidP="00A24008">
      <w:pPr>
        <w:spacing w:after="0" w:line="240" w:lineRule="auto"/>
        <w:rPr>
          <w:rFonts w:ascii="Arial" w:hAnsi="Arial" w:cs="Arial"/>
          <w:b/>
          <w:sz w:val="24"/>
          <w:szCs w:val="24"/>
        </w:rPr>
      </w:pPr>
    </w:p>
    <w:p w:rsidR="00F73364" w:rsidRDefault="005F29D8" w:rsidP="00A24008">
      <w:pPr>
        <w:spacing w:after="0" w:line="240" w:lineRule="auto"/>
        <w:jc w:val="both"/>
        <w:rPr>
          <w:rFonts w:ascii="Arial" w:hAnsi="Arial" w:cs="Arial"/>
          <w:sz w:val="24"/>
          <w:szCs w:val="24"/>
        </w:rPr>
      </w:pPr>
      <w:r w:rsidRPr="00A24008">
        <w:rPr>
          <w:rFonts w:ascii="Arial" w:hAnsi="Arial" w:cs="Arial"/>
          <w:sz w:val="24"/>
          <w:szCs w:val="24"/>
        </w:rPr>
        <w:t xml:space="preserve">The College has a zero tolerance approach to bullying, harassment and racism.  </w:t>
      </w:r>
      <w:r w:rsidR="00F73364" w:rsidRPr="00A24008">
        <w:rPr>
          <w:rFonts w:ascii="Arial" w:hAnsi="Arial" w:cs="Arial"/>
          <w:sz w:val="24"/>
          <w:szCs w:val="24"/>
        </w:rPr>
        <w:t>Harassment and bullying policies exist for staff and students and such issues are addressed in the tutorial programme. Procedures for dealing with incidents and complaints are followed and outcomes recorded.</w:t>
      </w:r>
    </w:p>
    <w:p w:rsidR="00A24008" w:rsidRPr="00A24008" w:rsidRDefault="00A24008" w:rsidP="00A24008">
      <w:pPr>
        <w:spacing w:after="0" w:line="240" w:lineRule="auto"/>
        <w:jc w:val="both"/>
        <w:rPr>
          <w:rFonts w:ascii="Arial" w:hAnsi="Arial" w:cs="Arial"/>
          <w:sz w:val="24"/>
          <w:szCs w:val="24"/>
        </w:rPr>
      </w:pPr>
    </w:p>
    <w:p w:rsidR="005F29D8" w:rsidRPr="00A24008" w:rsidRDefault="005F29D8" w:rsidP="00A24008">
      <w:pPr>
        <w:spacing w:after="0" w:line="240" w:lineRule="auto"/>
        <w:jc w:val="both"/>
        <w:rPr>
          <w:rFonts w:ascii="Arial" w:hAnsi="Arial" w:cs="Arial"/>
          <w:sz w:val="24"/>
          <w:szCs w:val="24"/>
        </w:rPr>
      </w:pPr>
      <w:r w:rsidRPr="00A24008">
        <w:rPr>
          <w:rFonts w:ascii="Arial" w:hAnsi="Arial" w:cs="Arial"/>
          <w:sz w:val="24"/>
          <w:szCs w:val="24"/>
        </w:rPr>
        <w:t>There are very few complaints about bullying, or equality and diversity issues. Where such issues do arise, the College responds swiftly and effectively to resolve them.</w:t>
      </w:r>
    </w:p>
    <w:p w:rsidR="005F29D8" w:rsidRPr="00B31A87" w:rsidRDefault="005F29D8" w:rsidP="00B31A87">
      <w:pPr>
        <w:rPr>
          <w:rFonts w:ascii="Arial" w:hAnsi="Arial" w:cs="Arial"/>
          <w:sz w:val="24"/>
          <w:szCs w:val="24"/>
        </w:rPr>
      </w:pPr>
    </w:p>
    <w:p w:rsidR="00C21F62" w:rsidRPr="00C21F62" w:rsidRDefault="00C21F62" w:rsidP="00B31A87">
      <w:pPr>
        <w:rPr>
          <w:rFonts w:ascii="Arial" w:hAnsi="Arial" w:cs="Arial"/>
          <w:b/>
          <w:sz w:val="24"/>
          <w:szCs w:val="24"/>
        </w:rPr>
      </w:pPr>
      <w:r w:rsidRPr="00C21F62">
        <w:rPr>
          <w:rFonts w:ascii="Arial" w:hAnsi="Arial" w:cs="Arial"/>
          <w:b/>
          <w:sz w:val="24"/>
          <w:szCs w:val="24"/>
        </w:rPr>
        <w:t>5.  Conclusion</w:t>
      </w:r>
    </w:p>
    <w:p w:rsidR="00B31A87" w:rsidRPr="00B31A87" w:rsidRDefault="00B31A87" w:rsidP="00B31A87">
      <w:pPr>
        <w:rPr>
          <w:rFonts w:ascii="Arial" w:hAnsi="Arial" w:cs="Arial"/>
          <w:sz w:val="24"/>
          <w:szCs w:val="24"/>
        </w:rPr>
      </w:pPr>
      <w:r w:rsidRPr="00B31A87">
        <w:rPr>
          <w:rFonts w:ascii="Arial" w:hAnsi="Arial" w:cs="Arial"/>
          <w:sz w:val="24"/>
          <w:szCs w:val="24"/>
        </w:rPr>
        <w:t xml:space="preserve">All College staff and learners have responsibilities in relation to EDI and are encouraged to advance awareness of equality and actively challenge all instances of inequality, thus helping remove barriers to access, achievement and progression. </w:t>
      </w:r>
    </w:p>
    <w:p w:rsidR="00B31A87" w:rsidRPr="00B31A87" w:rsidRDefault="00370A0C" w:rsidP="00B31A87">
      <w:pPr>
        <w:rPr>
          <w:rFonts w:ascii="Arial" w:hAnsi="Arial" w:cs="Arial"/>
          <w:sz w:val="24"/>
          <w:szCs w:val="24"/>
        </w:rPr>
      </w:pPr>
      <w:r>
        <w:rPr>
          <w:rFonts w:ascii="Arial" w:hAnsi="Arial" w:cs="Arial"/>
          <w:sz w:val="24"/>
          <w:szCs w:val="24"/>
        </w:rPr>
        <w:t>Central</w:t>
      </w:r>
      <w:r w:rsidR="00B31A87" w:rsidRPr="00B31A87">
        <w:rPr>
          <w:rFonts w:ascii="Arial" w:hAnsi="Arial" w:cs="Arial"/>
          <w:sz w:val="24"/>
          <w:szCs w:val="24"/>
        </w:rPr>
        <w:t xml:space="preserve"> College</w:t>
      </w:r>
      <w:r>
        <w:rPr>
          <w:rFonts w:ascii="Arial" w:hAnsi="Arial" w:cs="Arial"/>
          <w:sz w:val="24"/>
          <w:szCs w:val="24"/>
        </w:rPr>
        <w:t xml:space="preserve"> Nottingham</w:t>
      </w:r>
      <w:r w:rsidR="00B31A87" w:rsidRPr="00B31A87">
        <w:rPr>
          <w:rFonts w:ascii="Arial" w:hAnsi="Arial" w:cs="Arial"/>
          <w:sz w:val="24"/>
          <w:szCs w:val="24"/>
        </w:rPr>
        <w:t xml:space="preserve"> aims to provide a high quality service to meet the needs of Nottinghamshire’s diverse community.  Equality and diversity lies at the heart of our organisational culture, ensuring that everyone working and learning here is valued and encouraged to reach their full potential.  </w:t>
      </w:r>
    </w:p>
    <w:p w:rsidR="00B31A87" w:rsidRPr="009B0D63" w:rsidRDefault="00B31A87" w:rsidP="00B31A87">
      <w:pPr>
        <w:rPr>
          <w:rFonts w:ascii="Arial" w:hAnsi="Arial" w:cs="Arial"/>
          <w:sz w:val="24"/>
          <w:szCs w:val="24"/>
        </w:rPr>
      </w:pPr>
      <w:r w:rsidRPr="00B31A87">
        <w:rPr>
          <w:rFonts w:ascii="Arial" w:hAnsi="Arial" w:cs="Arial"/>
          <w:sz w:val="24"/>
          <w:szCs w:val="24"/>
        </w:rPr>
        <w:t xml:space="preserve">As an education provider, our inclusive culture, is </w:t>
      </w:r>
      <w:r w:rsidR="00370A0C">
        <w:rPr>
          <w:rFonts w:ascii="Arial" w:hAnsi="Arial" w:cs="Arial"/>
          <w:sz w:val="24"/>
          <w:szCs w:val="24"/>
        </w:rPr>
        <w:t>central</w:t>
      </w:r>
      <w:r w:rsidR="00370A0C" w:rsidRPr="00B31A87">
        <w:rPr>
          <w:rFonts w:ascii="Arial" w:hAnsi="Arial" w:cs="Arial"/>
          <w:sz w:val="24"/>
          <w:szCs w:val="24"/>
        </w:rPr>
        <w:t xml:space="preserve"> </w:t>
      </w:r>
      <w:r w:rsidRPr="00B31A87">
        <w:rPr>
          <w:rFonts w:ascii="Arial" w:hAnsi="Arial" w:cs="Arial"/>
          <w:sz w:val="24"/>
          <w:szCs w:val="24"/>
        </w:rPr>
        <w:t xml:space="preserve">to the quality of the service we provide, our reputation and ultimately everyone’s success.  </w:t>
      </w:r>
    </w:p>
    <w:p w:rsidR="005F29D8" w:rsidRPr="009B0D63" w:rsidRDefault="005F29D8" w:rsidP="008E5670">
      <w:pPr>
        <w:ind w:firstLine="720"/>
        <w:rPr>
          <w:rFonts w:ascii="Arial" w:hAnsi="Arial" w:cs="Arial"/>
          <w:sz w:val="24"/>
          <w:szCs w:val="24"/>
        </w:rPr>
      </w:pPr>
    </w:p>
    <w:sectPr w:rsidR="005F29D8" w:rsidRPr="009B0D6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C5F" w:rsidRDefault="00700C5F" w:rsidP="003F4A75">
      <w:pPr>
        <w:spacing w:after="0" w:line="240" w:lineRule="auto"/>
      </w:pPr>
      <w:r>
        <w:separator/>
      </w:r>
    </w:p>
  </w:endnote>
  <w:endnote w:type="continuationSeparator" w:id="0">
    <w:p w:rsidR="00700C5F" w:rsidRDefault="00700C5F" w:rsidP="003F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98078"/>
      <w:docPartObj>
        <w:docPartGallery w:val="Page Numbers (Bottom of Page)"/>
        <w:docPartUnique/>
      </w:docPartObj>
    </w:sdtPr>
    <w:sdtEndPr>
      <w:rPr>
        <w:noProof/>
      </w:rPr>
    </w:sdtEndPr>
    <w:sdtContent>
      <w:p w:rsidR="00241CF4" w:rsidRDefault="00241CF4">
        <w:pPr>
          <w:pStyle w:val="Footer"/>
          <w:jc w:val="right"/>
        </w:pPr>
        <w:r>
          <w:fldChar w:fldCharType="begin"/>
        </w:r>
        <w:r>
          <w:instrText xml:space="preserve"> PAGE   \* MERGEFORMAT </w:instrText>
        </w:r>
        <w:r>
          <w:fldChar w:fldCharType="separate"/>
        </w:r>
        <w:r w:rsidR="003D6A72">
          <w:rPr>
            <w:noProof/>
          </w:rPr>
          <w:t>2</w:t>
        </w:r>
        <w:r>
          <w:rPr>
            <w:noProof/>
          </w:rPr>
          <w:fldChar w:fldCharType="end"/>
        </w:r>
      </w:p>
    </w:sdtContent>
  </w:sdt>
  <w:p w:rsidR="00241CF4" w:rsidRDefault="00241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C5F" w:rsidRDefault="00700C5F" w:rsidP="003F4A75">
      <w:pPr>
        <w:spacing w:after="0" w:line="240" w:lineRule="auto"/>
      </w:pPr>
      <w:r>
        <w:separator/>
      </w:r>
    </w:p>
  </w:footnote>
  <w:footnote w:type="continuationSeparator" w:id="0">
    <w:p w:rsidR="00700C5F" w:rsidRDefault="00700C5F" w:rsidP="003F4A75">
      <w:pPr>
        <w:spacing w:after="0" w:line="240" w:lineRule="auto"/>
      </w:pPr>
      <w:r>
        <w:continuationSeparator/>
      </w:r>
    </w:p>
  </w:footnote>
  <w:footnote w:id="1">
    <w:p w:rsidR="00241CF4" w:rsidRPr="003F4A75" w:rsidRDefault="00241CF4">
      <w:pPr>
        <w:pStyle w:val="FootnoteText"/>
        <w:rPr>
          <w:rFonts w:ascii="Arial" w:hAnsi="Arial" w:cs="Arial"/>
          <w:sz w:val="18"/>
        </w:rPr>
      </w:pPr>
      <w:r>
        <w:rPr>
          <w:rStyle w:val="FootnoteReference"/>
        </w:rPr>
        <w:footnoteRef/>
      </w:r>
      <w:r>
        <w:t xml:space="preserve"> </w:t>
      </w:r>
      <w:r w:rsidRPr="003F4A75">
        <w:rPr>
          <w:rFonts w:ascii="Arial" w:hAnsi="Arial" w:cs="Arial"/>
          <w:sz w:val="18"/>
        </w:rPr>
        <w:t xml:space="preserve">Nottinghamshire population as listed in Census 2011 incorporates authorities of Nottingham City, </w:t>
      </w:r>
      <w:r w:rsidR="00B74048" w:rsidRPr="003F4A75">
        <w:rPr>
          <w:rFonts w:ascii="Arial" w:hAnsi="Arial" w:cs="Arial"/>
          <w:sz w:val="18"/>
        </w:rPr>
        <w:t>Ashfield</w:t>
      </w:r>
      <w:r w:rsidRPr="003F4A75">
        <w:rPr>
          <w:rFonts w:ascii="Arial" w:hAnsi="Arial" w:cs="Arial"/>
          <w:sz w:val="18"/>
        </w:rPr>
        <w:t xml:space="preserve">, Bassetlaw, Broxtowe, Gedling, Mansfield,       Newark and Sherwood and Rushcliffe.  Report - KS201EW Ethnic group, local authorities in England and Wales.  </w:t>
      </w:r>
    </w:p>
    <w:p w:rsidR="00241CF4" w:rsidRPr="003F4A75" w:rsidRDefault="00241CF4">
      <w:pPr>
        <w:pStyle w:val="FootnoteText"/>
        <w:rPr>
          <w:rFonts w:ascii="Arial" w:hAnsi="Arial" w:cs="Arial"/>
          <w:sz w:val="18"/>
        </w:rPr>
      </w:pPr>
      <w:r w:rsidRPr="003F4A75">
        <w:rPr>
          <w:rFonts w:ascii="Arial" w:hAnsi="Arial" w:cs="Arial"/>
          <w:sz w:val="18"/>
        </w:rPr>
        <w:t>http://www.ons.gov.uk/ons/publications/re-reference-tables.html?edition=tcm%3A77-286262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006"/>
    <w:multiLevelType w:val="hybridMultilevel"/>
    <w:tmpl w:val="65B0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20840"/>
    <w:multiLevelType w:val="hybridMultilevel"/>
    <w:tmpl w:val="4142D88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6BD4373"/>
    <w:multiLevelType w:val="hybridMultilevel"/>
    <w:tmpl w:val="C916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321814"/>
    <w:multiLevelType w:val="hybridMultilevel"/>
    <w:tmpl w:val="E0E8E0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6050D1"/>
    <w:multiLevelType w:val="hybridMultilevel"/>
    <w:tmpl w:val="A502C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537306"/>
    <w:multiLevelType w:val="hybridMultilevel"/>
    <w:tmpl w:val="EE1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017946"/>
    <w:multiLevelType w:val="hybridMultilevel"/>
    <w:tmpl w:val="7DB0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65BF5"/>
    <w:multiLevelType w:val="hybridMultilevel"/>
    <w:tmpl w:val="3BA464A8"/>
    <w:lvl w:ilvl="0" w:tplc="0E5C4F1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6F278CF"/>
    <w:multiLevelType w:val="hybridMultilevel"/>
    <w:tmpl w:val="E96EB6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C6A3226"/>
    <w:multiLevelType w:val="hybridMultilevel"/>
    <w:tmpl w:val="FAF2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A57CAE"/>
    <w:multiLevelType w:val="hybridMultilevel"/>
    <w:tmpl w:val="3866F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5F5D60"/>
    <w:multiLevelType w:val="hybridMultilevel"/>
    <w:tmpl w:val="E264BE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61035B"/>
    <w:multiLevelType w:val="hybridMultilevel"/>
    <w:tmpl w:val="DC0C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C36772"/>
    <w:multiLevelType w:val="hybridMultilevel"/>
    <w:tmpl w:val="25B4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1DE0820">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8C47E6"/>
    <w:multiLevelType w:val="hybridMultilevel"/>
    <w:tmpl w:val="E832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3B49A8"/>
    <w:multiLevelType w:val="hybridMultilevel"/>
    <w:tmpl w:val="FFEC9C94"/>
    <w:lvl w:ilvl="0" w:tplc="5C2C8B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7321F8"/>
    <w:multiLevelType w:val="hybridMultilevel"/>
    <w:tmpl w:val="31C26B7A"/>
    <w:lvl w:ilvl="0" w:tplc="4A309C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511F64"/>
    <w:multiLevelType w:val="hybridMultilevel"/>
    <w:tmpl w:val="13F608D0"/>
    <w:lvl w:ilvl="0" w:tplc="509AA5D2">
      <w:start w:val="2"/>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860CC0"/>
    <w:multiLevelType w:val="hybridMultilevel"/>
    <w:tmpl w:val="E7983C8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7E594A"/>
    <w:multiLevelType w:val="hybridMultilevel"/>
    <w:tmpl w:val="A3BCDE40"/>
    <w:lvl w:ilvl="0" w:tplc="1700D234">
      <w:start w:val="4"/>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5466C3"/>
    <w:multiLevelType w:val="hybridMultilevel"/>
    <w:tmpl w:val="876CA2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68027E5"/>
    <w:multiLevelType w:val="hybridMultilevel"/>
    <w:tmpl w:val="8E58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440CF3"/>
    <w:multiLevelType w:val="hybridMultilevel"/>
    <w:tmpl w:val="D994A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D92AC7"/>
    <w:multiLevelType w:val="hybridMultilevel"/>
    <w:tmpl w:val="3FC6E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F642F3"/>
    <w:multiLevelType w:val="hybridMultilevel"/>
    <w:tmpl w:val="D5F8111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98A1D01"/>
    <w:multiLevelType w:val="hybridMultilevel"/>
    <w:tmpl w:val="E9CE0310"/>
    <w:lvl w:ilvl="0" w:tplc="4C0A96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573C71"/>
    <w:multiLevelType w:val="hybridMultilevel"/>
    <w:tmpl w:val="EBF4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8E2229"/>
    <w:multiLevelType w:val="hybridMultilevel"/>
    <w:tmpl w:val="D42ADD6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5E26B7"/>
    <w:multiLevelType w:val="hybridMultilevel"/>
    <w:tmpl w:val="F9560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
  </w:num>
  <w:num w:numId="5">
    <w:abstractNumId w:val="3"/>
  </w:num>
  <w:num w:numId="6">
    <w:abstractNumId w:val="6"/>
  </w:num>
  <w:num w:numId="7">
    <w:abstractNumId w:val="25"/>
  </w:num>
  <w:num w:numId="8">
    <w:abstractNumId w:val="12"/>
  </w:num>
  <w:num w:numId="9">
    <w:abstractNumId w:val="15"/>
  </w:num>
  <w:num w:numId="10">
    <w:abstractNumId w:val="4"/>
  </w:num>
  <w:num w:numId="11">
    <w:abstractNumId w:val="22"/>
  </w:num>
  <w:num w:numId="12">
    <w:abstractNumId w:val="8"/>
  </w:num>
  <w:num w:numId="13">
    <w:abstractNumId w:val="11"/>
  </w:num>
  <w:num w:numId="14">
    <w:abstractNumId w:val="26"/>
  </w:num>
  <w:num w:numId="15">
    <w:abstractNumId w:val="16"/>
  </w:num>
  <w:num w:numId="16">
    <w:abstractNumId w:val="20"/>
  </w:num>
  <w:num w:numId="17">
    <w:abstractNumId w:val="19"/>
  </w:num>
  <w:num w:numId="18">
    <w:abstractNumId w:val="23"/>
  </w:num>
  <w:num w:numId="19">
    <w:abstractNumId w:val="7"/>
  </w:num>
  <w:num w:numId="20">
    <w:abstractNumId w:val="27"/>
  </w:num>
  <w:num w:numId="21">
    <w:abstractNumId w:val="24"/>
  </w:num>
  <w:num w:numId="22">
    <w:abstractNumId w:val="18"/>
  </w:num>
  <w:num w:numId="23">
    <w:abstractNumId w:val="17"/>
  </w:num>
  <w:num w:numId="24">
    <w:abstractNumId w:val="13"/>
  </w:num>
  <w:num w:numId="25">
    <w:abstractNumId w:val="28"/>
  </w:num>
  <w:num w:numId="26">
    <w:abstractNumId w:val="21"/>
  </w:num>
  <w:num w:numId="27">
    <w:abstractNumId w:val="0"/>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C2"/>
    <w:rsid w:val="00006CA6"/>
    <w:rsid w:val="0003373C"/>
    <w:rsid w:val="000554A8"/>
    <w:rsid w:val="00056519"/>
    <w:rsid w:val="00070EB4"/>
    <w:rsid w:val="00074FAC"/>
    <w:rsid w:val="000A4A7D"/>
    <w:rsid w:val="000D0E54"/>
    <w:rsid w:val="000E55C5"/>
    <w:rsid w:val="001156C2"/>
    <w:rsid w:val="00122DA7"/>
    <w:rsid w:val="0013593F"/>
    <w:rsid w:val="001660BE"/>
    <w:rsid w:val="00197B70"/>
    <w:rsid w:val="001C565F"/>
    <w:rsid w:val="00241CF4"/>
    <w:rsid w:val="00273FE1"/>
    <w:rsid w:val="002E1844"/>
    <w:rsid w:val="002F36C8"/>
    <w:rsid w:val="002F37F8"/>
    <w:rsid w:val="002F66DC"/>
    <w:rsid w:val="00302491"/>
    <w:rsid w:val="00322AEE"/>
    <w:rsid w:val="003335D6"/>
    <w:rsid w:val="0034774E"/>
    <w:rsid w:val="00360217"/>
    <w:rsid w:val="00370A0C"/>
    <w:rsid w:val="003760D4"/>
    <w:rsid w:val="00383D2B"/>
    <w:rsid w:val="003C77E9"/>
    <w:rsid w:val="003D2BCD"/>
    <w:rsid w:val="003D6A72"/>
    <w:rsid w:val="003E1D77"/>
    <w:rsid w:val="003E37C0"/>
    <w:rsid w:val="003F4A75"/>
    <w:rsid w:val="0042604D"/>
    <w:rsid w:val="00460E31"/>
    <w:rsid w:val="004D12DB"/>
    <w:rsid w:val="00503A5C"/>
    <w:rsid w:val="00541824"/>
    <w:rsid w:val="00551EC2"/>
    <w:rsid w:val="00557CAC"/>
    <w:rsid w:val="00560577"/>
    <w:rsid w:val="00580DAA"/>
    <w:rsid w:val="005B6EE1"/>
    <w:rsid w:val="005C7850"/>
    <w:rsid w:val="005F29D8"/>
    <w:rsid w:val="00612DE0"/>
    <w:rsid w:val="00617792"/>
    <w:rsid w:val="00617AD8"/>
    <w:rsid w:val="00635BCA"/>
    <w:rsid w:val="00662A33"/>
    <w:rsid w:val="006B2F6D"/>
    <w:rsid w:val="00700C5F"/>
    <w:rsid w:val="0070481D"/>
    <w:rsid w:val="00707289"/>
    <w:rsid w:val="007544CB"/>
    <w:rsid w:val="00771E3E"/>
    <w:rsid w:val="00782486"/>
    <w:rsid w:val="00783D92"/>
    <w:rsid w:val="00787D4B"/>
    <w:rsid w:val="007A5231"/>
    <w:rsid w:val="00850DDE"/>
    <w:rsid w:val="00870F53"/>
    <w:rsid w:val="00882B5D"/>
    <w:rsid w:val="00884F4E"/>
    <w:rsid w:val="008B12D4"/>
    <w:rsid w:val="008E5670"/>
    <w:rsid w:val="008F77E1"/>
    <w:rsid w:val="00903CC2"/>
    <w:rsid w:val="0092151B"/>
    <w:rsid w:val="00931B1E"/>
    <w:rsid w:val="009320AE"/>
    <w:rsid w:val="009B0D63"/>
    <w:rsid w:val="009B2719"/>
    <w:rsid w:val="009B5A0B"/>
    <w:rsid w:val="009F5BF2"/>
    <w:rsid w:val="00A21CD4"/>
    <w:rsid w:val="00A24008"/>
    <w:rsid w:val="00A26959"/>
    <w:rsid w:val="00A569CE"/>
    <w:rsid w:val="00A71CF5"/>
    <w:rsid w:val="00A868E9"/>
    <w:rsid w:val="00AA1332"/>
    <w:rsid w:val="00AA3887"/>
    <w:rsid w:val="00AA783A"/>
    <w:rsid w:val="00AA7DFB"/>
    <w:rsid w:val="00AB53F3"/>
    <w:rsid w:val="00AC2BDB"/>
    <w:rsid w:val="00AF0A87"/>
    <w:rsid w:val="00B31A87"/>
    <w:rsid w:val="00B74048"/>
    <w:rsid w:val="00B95323"/>
    <w:rsid w:val="00BB0E62"/>
    <w:rsid w:val="00BB1A40"/>
    <w:rsid w:val="00BC6A21"/>
    <w:rsid w:val="00BE0100"/>
    <w:rsid w:val="00BF2244"/>
    <w:rsid w:val="00BF327C"/>
    <w:rsid w:val="00C21F62"/>
    <w:rsid w:val="00C33D6A"/>
    <w:rsid w:val="00C64609"/>
    <w:rsid w:val="00C85E9B"/>
    <w:rsid w:val="00CA4E2B"/>
    <w:rsid w:val="00CE2384"/>
    <w:rsid w:val="00CF4199"/>
    <w:rsid w:val="00D00238"/>
    <w:rsid w:val="00D02EAA"/>
    <w:rsid w:val="00D579CE"/>
    <w:rsid w:val="00D937D3"/>
    <w:rsid w:val="00DA01A0"/>
    <w:rsid w:val="00DA28B2"/>
    <w:rsid w:val="00DE2C17"/>
    <w:rsid w:val="00E31E55"/>
    <w:rsid w:val="00E52CED"/>
    <w:rsid w:val="00E61B53"/>
    <w:rsid w:val="00EB2BA4"/>
    <w:rsid w:val="00ED132F"/>
    <w:rsid w:val="00F118A0"/>
    <w:rsid w:val="00F655CF"/>
    <w:rsid w:val="00F73364"/>
    <w:rsid w:val="00F73406"/>
    <w:rsid w:val="00F91E98"/>
    <w:rsid w:val="00FA1101"/>
    <w:rsid w:val="00FB6CB3"/>
    <w:rsid w:val="00FE6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CD4"/>
    <w:pPr>
      <w:ind w:left="720"/>
      <w:contextualSpacing/>
    </w:pPr>
  </w:style>
  <w:style w:type="paragraph" w:styleId="BalloonText">
    <w:name w:val="Balloon Text"/>
    <w:basedOn w:val="Normal"/>
    <w:link w:val="BalloonTextChar"/>
    <w:uiPriority w:val="99"/>
    <w:semiHidden/>
    <w:unhideWhenUsed/>
    <w:rsid w:val="001C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65F"/>
    <w:rPr>
      <w:rFonts w:ascii="Tahoma" w:hAnsi="Tahoma" w:cs="Tahoma"/>
      <w:sz w:val="16"/>
      <w:szCs w:val="16"/>
    </w:rPr>
  </w:style>
  <w:style w:type="paragraph" w:styleId="FootnoteText">
    <w:name w:val="footnote text"/>
    <w:basedOn w:val="Normal"/>
    <w:link w:val="FootnoteTextChar"/>
    <w:uiPriority w:val="99"/>
    <w:semiHidden/>
    <w:unhideWhenUsed/>
    <w:rsid w:val="003F4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A75"/>
    <w:rPr>
      <w:sz w:val="20"/>
      <w:szCs w:val="20"/>
    </w:rPr>
  </w:style>
  <w:style w:type="character" w:styleId="FootnoteReference">
    <w:name w:val="footnote reference"/>
    <w:basedOn w:val="DefaultParagraphFont"/>
    <w:uiPriority w:val="99"/>
    <w:semiHidden/>
    <w:unhideWhenUsed/>
    <w:rsid w:val="003F4A75"/>
    <w:rPr>
      <w:vertAlign w:val="superscript"/>
    </w:rPr>
  </w:style>
  <w:style w:type="table" w:styleId="TableGrid">
    <w:name w:val="Table Grid"/>
    <w:basedOn w:val="TableNormal"/>
    <w:uiPriority w:val="59"/>
    <w:rsid w:val="00A8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AEE"/>
  </w:style>
  <w:style w:type="paragraph" w:styleId="Footer">
    <w:name w:val="footer"/>
    <w:basedOn w:val="Normal"/>
    <w:link w:val="FooterChar"/>
    <w:uiPriority w:val="99"/>
    <w:unhideWhenUsed/>
    <w:rsid w:val="00322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AEE"/>
  </w:style>
  <w:style w:type="character" w:styleId="CommentReference">
    <w:name w:val="annotation reference"/>
    <w:basedOn w:val="DefaultParagraphFont"/>
    <w:uiPriority w:val="99"/>
    <w:semiHidden/>
    <w:unhideWhenUsed/>
    <w:rsid w:val="00BF2244"/>
    <w:rPr>
      <w:sz w:val="16"/>
      <w:szCs w:val="16"/>
    </w:rPr>
  </w:style>
  <w:style w:type="paragraph" w:styleId="CommentText">
    <w:name w:val="annotation text"/>
    <w:basedOn w:val="Normal"/>
    <w:link w:val="CommentTextChar"/>
    <w:uiPriority w:val="99"/>
    <w:semiHidden/>
    <w:unhideWhenUsed/>
    <w:rsid w:val="00BF2244"/>
    <w:pPr>
      <w:spacing w:line="240" w:lineRule="auto"/>
    </w:pPr>
    <w:rPr>
      <w:sz w:val="20"/>
      <w:szCs w:val="20"/>
    </w:rPr>
  </w:style>
  <w:style w:type="character" w:customStyle="1" w:styleId="CommentTextChar">
    <w:name w:val="Comment Text Char"/>
    <w:basedOn w:val="DefaultParagraphFont"/>
    <w:link w:val="CommentText"/>
    <w:uiPriority w:val="99"/>
    <w:semiHidden/>
    <w:rsid w:val="00BF2244"/>
    <w:rPr>
      <w:sz w:val="20"/>
      <w:szCs w:val="20"/>
    </w:rPr>
  </w:style>
  <w:style w:type="paragraph" w:styleId="CommentSubject">
    <w:name w:val="annotation subject"/>
    <w:basedOn w:val="CommentText"/>
    <w:next w:val="CommentText"/>
    <w:link w:val="CommentSubjectChar"/>
    <w:uiPriority w:val="99"/>
    <w:semiHidden/>
    <w:unhideWhenUsed/>
    <w:rsid w:val="00BF2244"/>
    <w:rPr>
      <w:b/>
      <w:bCs/>
    </w:rPr>
  </w:style>
  <w:style w:type="character" w:customStyle="1" w:styleId="CommentSubjectChar">
    <w:name w:val="Comment Subject Char"/>
    <w:basedOn w:val="CommentTextChar"/>
    <w:link w:val="CommentSubject"/>
    <w:uiPriority w:val="99"/>
    <w:semiHidden/>
    <w:rsid w:val="00BF22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CD4"/>
    <w:pPr>
      <w:ind w:left="720"/>
      <w:contextualSpacing/>
    </w:pPr>
  </w:style>
  <w:style w:type="paragraph" w:styleId="BalloonText">
    <w:name w:val="Balloon Text"/>
    <w:basedOn w:val="Normal"/>
    <w:link w:val="BalloonTextChar"/>
    <w:uiPriority w:val="99"/>
    <w:semiHidden/>
    <w:unhideWhenUsed/>
    <w:rsid w:val="001C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65F"/>
    <w:rPr>
      <w:rFonts w:ascii="Tahoma" w:hAnsi="Tahoma" w:cs="Tahoma"/>
      <w:sz w:val="16"/>
      <w:szCs w:val="16"/>
    </w:rPr>
  </w:style>
  <w:style w:type="paragraph" w:styleId="FootnoteText">
    <w:name w:val="footnote text"/>
    <w:basedOn w:val="Normal"/>
    <w:link w:val="FootnoteTextChar"/>
    <w:uiPriority w:val="99"/>
    <w:semiHidden/>
    <w:unhideWhenUsed/>
    <w:rsid w:val="003F4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A75"/>
    <w:rPr>
      <w:sz w:val="20"/>
      <w:szCs w:val="20"/>
    </w:rPr>
  </w:style>
  <w:style w:type="character" w:styleId="FootnoteReference">
    <w:name w:val="footnote reference"/>
    <w:basedOn w:val="DefaultParagraphFont"/>
    <w:uiPriority w:val="99"/>
    <w:semiHidden/>
    <w:unhideWhenUsed/>
    <w:rsid w:val="003F4A75"/>
    <w:rPr>
      <w:vertAlign w:val="superscript"/>
    </w:rPr>
  </w:style>
  <w:style w:type="table" w:styleId="TableGrid">
    <w:name w:val="Table Grid"/>
    <w:basedOn w:val="TableNormal"/>
    <w:uiPriority w:val="59"/>
    <w:rsid w:val="00A8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AEE"/>
  </w:style>
  <w:style w:type="paragraph" w:styleId="Footer">
    <w:name w:val="footer"/>
    <w:basedOn w:val="Normal"/>
    <w:link w:val="FooterChar"/>
    <w:uiPriority w:val="99"/>
    <w:unhideWhenUsed/>
    <w:rsid w:val="00322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AEE"/>
  </w:style>
  <w:style w:type="character" w:styleId="CommentReference">
    <w:name w:val="annotation reference"/>
    <w:basedOn w:val="DefaultParagraphFont"/>
    <w:uiPriority w:val="99"/>
    <w:semiHidden/>
    <w:unhideWhenUsed/>
    <w:rsid w:val="00BF2244"/>
    <w:rPr>
      <w:sz w:val="16"/>
      <w:szCs w:val="16"/>
    </w:rPr>
  </w:style>
  <w:style w:type="paragraph" w:styleId="CommentText">
    <w:name w:val="annotation text"/>
    <w:basedOn w:val="Normal"/>
    <w:link w:val="CommentTextChar"/>
    <w:uiPriority w:val="99"/>
    <w:semiHidden/>
    <w:unhideWhenUsed/>
    <w:rsid w:val="00BF2244"/>
    <w:pPr>
      <w:spacing w:line="240" w:lineRule="auto"/>
    </w:pPr>
    <w:rPr>
      <w:sz w:val="20"/>
      <w:szCs w:val="20"/>
    </w:rPr>
  </w:style>
  <w:style w:type="character" w:customStyle="1" w:styleId="CommentTextChar">
    <w:name w:val="Comment Text Char"/>
    <w:basedOn w:val="DefaultParagraphFont"/>
    <w:link w:val="CommentText"/>
    <w:uiPriority w:val="99"/>
    <w:semiHidden/>
    <w:rsid w:val="00BF2244"/>
    <w:rPr>
      <w:sz w:val="20"/>
      <w:szCs w:val="20"/>
    </w:rPr>
  </w:style>
  <w:style w:type="paragraph" w:styleId="CommentSubject">
    <w:name w:val="annotation subject"/>
    <w:basedOn w:val="CommentText"/>
    <w:next w:val="CommentText"/>
    <w:link w:val="CommentSubjectChar"/>
    <w:uiPriority w:val="99"/>
    <w:semiHidden/>
    <w:unhideWhenUsed/>
    <w:rsid w:val="00BF2244"/>
    <w:rPr>
      <w:b/>
      <w:bCs/>
    </w:rPr>
  </w:style>
  <w:style w:type="character" w:customStyle="1" w:styleId="CommentSubjectChar">
    <w:name w:val="Comment Subject Char"/>
    <w:basedOn w:val="CommentTextChar"/>
    <w:link w:val="CommentSubject"/>
    <w:uiPriority w:val="99"/>
    <w:semiHidden/>
    <w:rsid w:val="00BF22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rc-staff-01\work\HR\Human%20Resources%20-%20PLEASE%20USE\Performance%20Monitoring\Year%20End%20Data\ED%20raw%20data%2011-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rc-staff-01\work\HR\Human%20Resources%20-%20PLEASE%20USE\Performance%20Monitoring\Year%20End%20Data\ED%20raw%20data%2011-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rc-staff-01\work\HR\Human%20Resources%20-%20PLEASE%20USE\Performance%20Monitoring\Year%20End%20Data\ED%20raw%20data%2011-1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rc-staff-01\work\Equality%20&amp;%20Diversity\DATA\Copy%20of%20Staff-Student%20Graphs%202011-1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rc-staff-01\work\Equality%20&amp;%20Diversity\DATA\Copy%20of%20Staff-Student%20Graphs%202011-1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lgn="ctr">
              <a:defRPr sz="1400"/>
            </a:pPr>
            <a:r>
              <a:rPr lang="en-US" sz="1400"/>
              <a:t>Gender</a:t>
            </a:r>
            <a:r>
              <a:rPr lang="en-US" sz="1400" baseline="0"/>
              <a:t> by College</a:t>
            </a:r>
            <a:r>
              <a:rPr lang="en-US" sz="1400"/>
              <a:t> </a:t>
            </a:r>
          </a:p>
        </c:rich>
      </c:tx>
      <c:overlay val="0"/>
    </c:title>
    <c:autoTitleDeleted val="0"/>
    <c:plotArea>
      <c:layout/>
      <c:barChart>
        <c:barDir val="bar"/>
        <c:grouping val="stacked"/>
        <c:varyColors val="0"/>
        <c:ser>
          <c:idx val="0"/>
          <c:order val="0"/>
          <c:tx>
            <c:strRef>
              <c:f>Analysis!$B$47</c:f>
              <c:strCache>
                <c:ptCount val="1"/>
                <c:pt idx="0">
                  <c:v>Male</c:v>
                </c:pt>
              </c:strCache>
            </c:strRef>
          </c:tx>
          <c:invertIfNegative val="0"/>
          <c:dLbls>
            <c:showLegendKey val="0"/>
            <c:showVal val="1"/>
            <c:showCatName val="0"/>
            <c:showSerName val="0"/>
            <c:showPercent val="0"/>
            <c:showBubbleSize val="0"/>
            <c:showLeaderLines val="0"/>
          </c:dLbls>
          <c:cat>
            <c:strRef>
              <c:f>Analysis!$A$48:$A$50</c:f>
              <c:strCache>
                <c:ptCount val="3"/>
                <c:pt idx="0">
                  <c:v>SNC 11/12</c:v>
                </c:pt>
                <c:pt idx="1">
                  <c:v>SNC 10/11</c:v>
                </c:pt>
                <c:pt idx="2">
                  <c:v>Castle 10/11</c:v>
                </c:pt>
              </c:strCache>
            </c:strRef>
          </c:cat>
          <c:val>
            <c:numRef>
              <c:f>Analysis!$B$48:$B$50</c:f>
              <c:numCache>
                <c:formatCode>0%</c:formatCode>
                <c:ptCount val="3"/>
                <c:pt idx="0">
                  <c:v>0.39</c:v>
                </c:pt>
                <c:pt idx="1">
                  <c:v>0.35</c:v>
                </c:pt>
                <c:pt idx="2">
                  <c:v>0.38</c:v>
                </c:pt>
              </c:numCache>
            </c:numRef>
          </c:val>
        </c:ser>
        <c:ser>
          <c:idx val="1"/>
          <c:order val="1"/>
          <c:tx>
            <c:strRef>
              <c:f>Analysis!$C$47</c:f>
              <c:strCache>
                <c:ptCount val="1"/>
                <c:pt idx="0">
                  <c:v>Female</c:v>
                </c:pt>
              </c:strCache>
            </c:strRef>
          </c:tx>
          <c:invertIfNegative val="0"/>
          <c:dLbls>
            <c:showLegendKey val="0"/>
            <c:showVal val="1"/>
            <c:showCatName val="0"/>
            <c:showSerName val="0"/>
            <c:showPercent val="0"/>
            <c:showBubbleSize val="0"/>
            <c:showLeaderLines val="0"/>
          </c:dLbls>
          <c:cat>
            <c:strRef>
              <c:f>Analysis!$A$48:$A$50</c:f>
              <c:strCache>
                <c:ptCount val="3"/>
                <c:pt idx="0">
                  <c:v>SNC 11/12</c:v>
                </c:pt>
                <c:pt idx="1">
                  <c:v>SNC 10/11</c:v>
                </c:pt>
                <c:pt idx="2">
                  <c:v>Castle 10/11</c:v>
                </c:pt>
              </c:strCache>
            </c:strRef>
          </c:cat>
          <c:val>
            <c:numRef>
              <c:f>Analysis!$C$48:$C$50</c:f>
              <c:numCache>
                <c:formatCode>0%</c:formatCode>
                <c:ptCount val="3"/>
                <c:pt idx="0">
                  <c:v>0.61</c:v>
                </c:pt>
                <c:pt idx="1">
                  <c:v>0.65</c:v>
                </c:pt>
                <c:pt idx="2">
                  <c:v>0.62</c:v>
                </c:pt>
              </c:numCache>
            </c:numRef>
          </c:val>
        </c:ser>
        <c:dLbls>
          <c:showLegendKey val="0"/>
          <c:showVal val="0"/>
          <c:showCatName val="0"/>
          <c:showSerName val="0"/>
          <c:showPercent val="0"/>
          <c:showBubbleSize val="0"/>
        </c:dLbls>
        <c:gapWidth val="150"/>
        <c:overlap val="100"/>
        <c:axId val="254301696"/>
        <c:axId val="282173440"/>
      </c:barChart>
      <c:catAx>
        <c:axId val="254301696"/>
        <c:scaling>
          <c:orientation val="maxMin"/>
        </c:scaling>
        <c:delete val="0"/>
        <c:axPos val="l"/>
        <c:majorTickMark val="out"/>
        <c:minorTickMark val="none"/>
        <c:tickLblPos val="nextTo"/>
        <c:crossAx val="282173440"/>
        <c:crosses val="autoZero"/>
        <c:auto val="1"/>
        <c:lblAlgn val="ctr"/>
        <c:lblOffset val="100"/>
        <c:noMultiLvlLbl val="0"/>
      </c:catAx>
      <c:valAx>
        <c:axId val="282173440"/>
        <c:scaling>
          <c:orientation val="minMax"/>
        </c:scaling>
        <c:delete val="1"/>
        <c:axPos val="t"/>
        <c:numFmt formatCode="0%" sourceLinked="1"/>
        <c:majorTickMark val="out"/>
        <c:minorTickMark val="none"/>
        <c:tickLblPos val="nextTo"/>
        <c:crossAx val="254301696"/>
        <c:crosses val="autoZero"/>
        <c:crossBetween val="between"/>
      </c:valAx>
      <c:spPr>
        <a:solidFill>
          <a:schemeClr val="tx1">
            <a:lumMod val="75000"/>
            <a:lumOff val="25000"/>
          </a:schemeClr>
        </a:solidFill>
      </c:spPr>
    </c:plotArea>
    <c:legend>
      <c:legendPos val="r"/>
      <c:layout>
        <c:manualLayout>
          <c:xMode val="edge"/>
          <c:yMode val="edge"/>
          <c:x val="0.8205426509186351"/>
          <c:y val="0.46257910469524643"/>
          <c:w val="0.1407561242344707"/>
          <c:h val="0.17866360454943131"/>
        </c:manualLayout>
      </c:layout>
      <c:overlay val="0"/>
      <c:txPr>
        <a:bodyPr/>
        <a:lstStyle/>
        <a:p>
          <a:pPr>
            <a:defRPr sz="110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GB" sz="1400"/>
              <a:t>Gender by Staff Group   </a:t>
            </a:r>
          </a:p>
        </c:rich>
      </c:tx>
      <c:overlay val="0"/>
    </c:title>
    <c:autoTitleDeleted val="0"/>
    <c:plotArea>
      <c:layout/>
      <c:barChart>
        <c:barDir val="bar"/>
        <c:grouping val="stacked"/>
        <c:varyColors val="0"/>
        <c:ser>
          <c:idx val="0"/>
          <c:order val="0"/>
          <c:tx>
            <c:strRef>
              <c:f>Analysis!$B$25</c:f>
              <c:strCache>
                <c:ptCount val="1"/>
                <c:pt idx="0">
                  <c:v>Male</c:v>
                </c:pt>
              </c:strCache>
            </c:strRef>
          </c:tx>
          <c:invertIfNegative val="0"/>
          <c:cat>
            <c:strRef>
              <c:f>Analysis!$A$26:$A$29</c:f>
              <c:strCache>
                <c:ptCount val="4"/>
                <c:pt idx="0">
                  <c:v>All</c:v>
                </c:pt>
                <c:pt idx="1">
                  <c:v>Teaching </c:v>
                </c:pt>
                <c:pt idx="2">
                  <c:v>Support</c:v>
                </c:pt>
                <c:pt idx="3">
                  <c:v>Management </c:v>
                </c:pt>
              </c:strCache>
            </c:strRef>
          </c:cat>
          <c:val>
            <c:numRef>
              <c:f>Analysis!$B$26:$B$29</c:f>
              <c:numCache>
                <c:formatCode>0%</c:formatCode>
                <c:ptCount val="4"/>
                <c:pt idx="0">
                  <c:v>0.39</c:v>
                </c:pt>
                <c:pt idx="1">
                  <c:v>0.44</c:v>
                </c:pt>
                <c:pt idx="2">
                  <c:v>0.33</c:v>
                </c:pt>
                <c:pt idx="3">
                  <c:v>0.52</c:v>
                </c:pt>
              </c:numCache>
            </c:numRef>
          </c:val>
        </c:ser>
        <c:ser>
          <c:idx val="1"/>
          <c:order val="1"/>
          <c:tx>
            <c:strRef>
              <c:f>Analysis!$C$25</c:f>
              <c:strCache>
                <c:ptCount val="1"/>
                <c:pt idx="0">
                  <c:v>Female</c:v>
                </c:pt>
              </c:strCache>
            </c:strRef>
          </c:tx>
          <c:invertIfNegative val="0"/>
          <c:cat>
            <c:strRef>
              <c:f>Analysis!$A$26:$A$29</c:f>
              <c:strCache>
                <c:ptCount val="4"/>
                <c:pt idx="0">
                  <c:v>All</c:v>
                </c:pt>
                <c:pt idx="1">
                  <c:v>Teaching </c:v>
                </c:pt>
                <c:pt idx="2">
                  <c:v>Support</c:v>
                </c:pt>
                <c:pt idx="3">
                  <c:v>Management </c:v>
                </c:pt>
              </c:strCache>
            </c:strRef>
          </c:cat>
          <c:val>
            <c:numRef>
              <c:f>Analysis!$C$26:$C$29</c:f>
              <c:numCache>
                <c:formatCode>0%</c:formatCode>
                <c:ptCount val="4"/>
                <c:pt idx="0">
                  <c:v>0.61</c:v>
                </c:pt>
                <c:pt idx="1">
                  <c:v>0.56000000000000005</c:v>
                </c:pt>
                <c:pt idx="2">
                  <c:v>0.67</c:v>
                </c:pt>
                <c:pt idx="3">
                  <c:v>0.48</c:v>
                </c:pt>
              </c:numCache>
            </c:numRef>
          </c:val>
        </c:ser>
        <c:dLbls>
          <c:showLegendKey val="0"/>
          <c:showVal val="1"/>
          <c:showCatName val="0"/>
          <c:showSerName val="0"/>
          <c:showPercent val="0"/>
          <c:showBubbleSize val="0"/>
        </c:dLbls>
        <c:gapWidth val="95"/>
        <c:overlap val="100"/>
        <c:axId val="223252480"/>
        <c:axId val="223254016"/>
      </c:barChart>
      <c:catAx>
        <c:axId val="223252480"/>
        <c:scaling>
          <c:orientation val="maxMin"/>
        </c:scaling>
        <c:delete val="0"/>
        <c:axPos val="l"/>
        <c:majorTickMark val="none"/>
        <c:minorTickMark val="none"/>
        <c:tickLblPos val="nextTo"/>
        <c:txPr>
          <a:bodyPr/>
          <a:lstStyle/>
          <a:p>
            <a:pPr>
              <a:defRPr sz="1100"/>
            </a:pPr>
            <a:endParaRPr lang="en-US"/>
          </a:p>
        </c:txPr>
        <c:crossAx val="223254016"/>
        <c:crosses val="autoZero"/>
        <c:auto val="1"/>
        <c:lblAlgn val="ctr"/>
        <c:lblOffset val="100"/>
        <c:noMultiLvlLbl val="0"/>
      </c:catAx>
      <c:valAx>
        <c:axId val="223254016"/>
        <c:scaling>
          <c:orientation val="minMax"/>
        </c:scaling>
        <c:delete val="1"/>
        <c:axPos val="t"/>
        <c:numFmt formatCode="0%" sourceLinked="1"/>
        <c:majorTickMark val="out"/>
        <c:minorTickMark val="none"/>
        <c:tickLblPos val="nextTo"/>
        <c:crossAx val="223252480"/>
        <c:crosses val="autoZero"/>
        <c:crossBetween val="between"/>
      </c:valAx>
    </c:plotArea>
    <c:legend>
      <c:legendPos val="r"/>
      <c:layout>
        <c:manualLayout>
          <c:xMode val="edge"/>
          <c:yMode val="edge"/>
          <c:x val="0.83165376202974617"/>
          <c:y val="0.43500947798191891"/>
          <c:w val="0.12945734908136483"/>
          <c:h val="0.16743438320209975"/>
        </c:manualLayout>
      </c:layout>
      <c:overlay val="0"/>
      <c:txPr>
        <a:bodyPr/>
        <a:lstStyle/>
        <a:p>
          <a:pPr>
            <a:defRPr sz="11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GB" sz="1400"/>
              <a:t>Ethnicity</a:t>
            </a:r>
            <a:r>
              <a:rPr lang="en-GB" sz="1400" baseline="0"/>
              <a:t> by Staff Group </a:t>
            </a:r>
            <a:endParaRPr lang="en-GB" sz="1400"/>
          </a:p>
        </c:rich>
      </c:tx>
      <c:overlay val="0"/>
    </c:title>
    <c:autoTitleDeleted val="0"/>
    <c:plotArea>
      <c:layout>
        <c:manualLayout>
          <c:layoutTarget val="inner"/>
          <c:xMode val="edge"/>
          <c:yMode val="edge"/>
          <c:x val="0.15107841071586123"/>
          <c:y val="0.23148148148148148"/>
          <c:w val="0.61101630999849088"/>
          <c:h val="0.64814814814814814"/>
        </c:manualLayout>
      </c:layout>
      <c:barChart>
        <c:barDir val="bar"/>
        <c:grouping val="stacked"/>
        <c:varyColors val="0"/>
        <c:ser>
          <c:idx val="0"/>
          <c:order val="0"/>
          <c:tx>
            <c:strRef>
              <c:f>Analysis!$A$112</c:f>
              <c:strCache>
                <c:ptCount val="1"/>
                <c:pt idx="0">
                  <c:v>White/White British </c:v>
                </c:pt>
              </c:strCache>
            </c:strRef>
          </c:tx>
          <c:invertIfNegative val="0"/>
          <c:cat>
            <c:strRef>
              <c:f>Analysis!$B$111:$E$111</c:f>
              <c:strCache>
                <c:ptCount val="4"/>
                <c:pt idx="0">
                  <c:v>All</c:v>
                </c:pt>
                <c:pt idx="1">
                  <c:v>Teaching </c:v>
                </c:pt>
                <c:pt idx="2">
                  <c:v>Support</c:v>
                </c:pt>
                <c:pt idx="3">
                  <c:v>Management </c:v>
                </c:pt>
              </c:strCache>
            </c:strRef>
          </c:cat>
          <c:val>
            <c:numRef>
              <c:f>Analysis!$B$112:$E$112</c:f>
              <c:numCache>
                <c:formatCode>0.0%</c:formatCode>
                <c:ptCount val="4"/>
                <c:pt idx="0">
                  <c:v>0.91400000000000003</c:v>
                </c:pt>
                <c:pt idx="1">
                  <c:v>0.93679999999999997</c:v>
                </c:pt>
                <c:pt idx="2">
                  <c:v>0.89659999999999995</c:v>
                </c:pt>
                <c:pt idx="3">
                  <c:v>0.94</c:v>
                </c:pt>
              </c:numCache>
            </c:numRef>
          </c:val>
        </c:ser>
        <c:ser>
          <c:idx val="1"/>
          <c:order val="1"/>
          <c:tx>
            <c:strRef>
              <c:f>Analysis!$A$113</c:f>
              <c:strCache>
                <c:ptCount val="1"/>
                <c:pt idx="0">
                  <c:v>Asian/Asian British </c:v>
                </c:pt>
              </c:strCache>
            </c:strRef>
          </c:tx>
          <c:invertIfNegative val="0"/>
          <c:cat>
            <c:strRef>
              <c:f>Analysis!$B$111:$E$111</c:f>
              <c:strCache>
                <c:ptCount val="4"/>
                <c:pt idx="0">
                  <c:v>All</c:v>
                </c:pt>
                <c:pt idx="1">
                  <c:v>Teaching </c:v>
                </c:pt>
                <c:pt idx="2">
                  <c:v>Support</c:v>
                </c:pt>
                <c:pt idx="3">
                  <c:v>Management </c:v>
                </c:pt>
              </c:strCache>
            </c:strRef>
          </c:cat>
          <c:val>
            <c:numRef>
              <c:f>Analysis!$B$113:$E$113</c:f>
              <c:numCache>
                <c:formatCode>0.0%</c:formatCode>
                <c:ptCount val="4"/>
                <c:pt idx="0">
                  <c:v>2.7E-2</c:v>
                </c:pt>
                <c:pt idx="1">
                  <c:v>8.0000000000000002E-3</c:v>
                </c:pt>
                <c:pt idx="2">
                  <c:v>3.7199999999999997E-2</c:v>
                </c:pt>
                <c:pt idx="3">
                  <c:v>0.04</c:v>
                </c:pt>
              </c:numCache>
            </c:numRef>
          </c:val>
        </c:ser>
        <c:ser>
          <c:idx val="2"/>
          <c:order val="2"/>
          <c:tx>
            <c:strRef>
              <c:f>Analysis!$A$114</c:f>
              <c:strCache>
                <c:ptCount val="1"/>
                <c:pt idx="0">
                  <c:v>Black/Black British </c:v>
                </c:pt>
              </c:strCache>
            </c:strRef>
          </c:tx>
          <c:invertIfNegative val="0"/>
          <c:cat>
            <c:strRef>
              <c:f>Analysis!$B$111:$E$111</c:f>
              <c:strCache>
                <c:ptCount val="4"/>
                <c:pt idx="0">
                  <c:v>All</c:v>
                </c:pt>
                <c:pt idx="1">
                  <c:v>Teaching </c:v>
                </c:pt>
                <c:pt idx="2">
                  <c:v>Support</c:v>
                </c:pt>
                <c:pt idx="3">
                  <c:v>Management </c:v>
                </c:pt>
              </c:strCache>
            </c:strRef>
          </c:cat>
          <c:val>
            <c:numRef>
              <c:f>Analysis!$B$114:$E$114</c:f>
              <c:numCache>
                <c:formatCode>0.0%</c:formatCode>
                <c:ptCount val="4"/>
                <c:pt idx="0">
                  <c:v>2.8899999999999999E-2</c:v>
                </c:pt>
                <c:pt idx="1">
                  <c:v>3.15E-2</c:v>
                </c:pt>
                <c:pt idx="2">
                  <c:v>3.0499999999999999E-2</c:v>
                </c:pt>
                <c:pt idx="3">
                  <c:v>0.01</c:v>
                </c:pt>
              </c:numCache>
            </c:numRef>
          </c:val>
        </c:ser>
        <c:ser>
          <c:idx val="3"/>
          <c:order val="3"/>
          <c:tx>
            <c:strRef>
              <c:f>Analysis!$A$115</c:f>
              <c:strCache>
                <c:ptCount val="1"/>
                <c:pt idx="0">
                  <c:v>Chinese</c:v>
                </c:pt>
              </c:strCache>
            </c:strRef>
          </c:tx>
          <c:invertIfNegative val="0"/>
          <c:cat>
            <c:strRef>
              <c:f>Analysis!$B$111:$E$111</c:f>
              <c:strCache>
                <c:ptCount val="4"/>
                <c:pt idx="0">
                  <c:v>All</c:v>
                </c:pt>
                <c:pt idx="1">
                  <c:v>Teaching </c:v>
                </c:pt>
                <c:pt idx="2">
                  <c:v>Support</c:v>
                </c:pt>
                <c:pt idx="3">
                  <c:v>Management </c:v>
                </c:pt>
              </c:strCache>
            </c:strRef>
          </c:cat>
          <c:val>
            <c:numRef>
              <c:f>Analysis!$B$115:$E$115</c:f>
              <c:numCache>
                <c:formatCode>General</c:formatCode>
                <c:ptCount val="4"/>
                <c:pt idx="0" formatCode="0.0%">
                  <c:v>5.5999999999999999E-3</c:v>
                </c:pt>
                <c:pt idx="2" formatCode="0.0%">
                  <c:v>7.0000000000000001E-3</c:v>
                </c:pt>
                <c:pt idx="3" formatCode="0.0%">
                  <c:v>0.01</c:v>
                </c:pt>
              </c:numCache>
            </c:numRef>
          </c:val>
        </c:ser>
        <c:ser>
          <c:idx val="4"/>
          <c:order val="4"/>
          <c:tx>
            <c:strRef>
              <c:f>Analysis!$A$116</c:f>
              <c:strCache>
                <c:ptCount val="1"/>
                <c:pt idx="0">
                  <c:v>Mixed</c:v>
                </c:pt>
              </c:strCache>
            </c:strRef>
          </c:tx>
          <c:invertIfNegative val="0"/>
          <c:cat>
            <c:strRef>
              <c:f>Analysis!$B$111:$E$111</c:f>
              <c:strCache>
                <c:ptCount val="4"/>
                <c:pt idx="0">
                  <c:v>All</c:v>
                </c:pt>
                <c:pt idx="1">
                  <c:v>Teaching </c:v>
                </c:pt>
                <c:pt idx="2">
                  <c:v>Support</c:v>
                </c:pt>
                <c:pt idx="3">
                  <c:v>Management </c:v>
                </c:pt>
              </c:strCache>
            </c:strRef>
          </c:cat>
          <c:val>
            <c:numRef>
              <c:f>Analysis!$B$116:$E$116</c:f>
              <c:numCache>
                <c:formatCode>0.0%</c:formatCode>
                <c:ptCount val="4"/>
                <c:pt idx="0">
                  <c:v>1.5800000000000002E-2</c:v>
                </c:pt>
                <c:pt idx="1">
                  <c:v>1.5699999999999999E-2</c:v>
                </c:pt>
                <c:pt idx="2">
                  <c:v>1.8599999999999998E-2</c:v>
                </c:pt>
              </c:numCache>
            </c:numRef>
          </c:val>
        </c:ser>
        <c:ser>
          <c:idx val="5"/>
          <c:order val="5"/>
          <c:tx>
            <c:strRef>
              <c:f>Analysis!$A$117</c:f>
              <c:strCache>
                <c:ptCount val="1"/>
                <c:pt idx="0">
                  <c:v>Other</c:v>
                </c:pt>
              </c:strCache>
            </c:strRef>
          </c:tx>
          <c:invertIfNegative val="0"/>
          <c:cat>
            <c:strRef>
              <c:f>Analysis!$B$111:$E$111</c:f>
              <c:strCache>
                <c:ptCount val="4"/>
                <c:pt idx="0">
                  <c:v>All</c:v>
                </c:pt>
                <c:pt idx="1">
                  <c:v>Teaching </c:v>
                </c:pt>
                <c:pt idx="2">
                  <c:v>Support</c:v>
                </c:pt>
                <c:pt idx="3">
                  <c:v>Management </c:v>
                </c:pt>
              </c:strCache>
            </c:strRef>
          </c:cat>
          <c:val>
            <c:numRef>
              <c:f>Analysis!$B$117:$E$117</c:f>
              <c:numCache>
                <c:formatCode>0.0%</c:formatCode>
                <c:ptCount val="4"/>
                <c:pt idx="0">
                  <c:v>3.7000000000000002E-3</c:v>
                </c:pt>
                <c:pt idx="1">
                  <c:v>7.7999999999999996E-3</c:v>
                </c:pt>
                <c:pt idx="2">
                  <c:v>1.6000000000000001E-3</c:v>
                </c:pt>
              </c:numCache>
            </c:numRef>
          </c:val>
        </c:ser>
        <c:ser>
          <c:idx val="6"/>
          <c:order val="6"/>
          <c:tx>
            <c:strRef>
              <c:f>Analysis!$A$118</c:f>
              <c:strCache>
                <c:ptCount val="1"/>
                <c:pt idx="0">
                  <c:v>Not known</c:v>
                </c:pt>
              </c:strCache>
            </c:strRef>
          </c:tx>
          <c:spPr>
            <a:solidFill>
              <a:schemeClr val="bg1">
                <a:lumMod val="75000"/>
              </a:schemeClr>
            </a:solidFill>
          </c:spPr>
          <c:invertIfNegative val="0"/>
          <c:cat>
            <c:strRef>
              <c:f>Analysis!$B$111:$E$111</c:f>
              <c:strCache>
                <c:ptCount val="4"/>
                <c:pt idx="0">
                  <c:v>All</c:v>
                </c:pt>
                <c:pt idx="1">
                  <c:v>Teaching </c:v>
                </c:pt>
                <c:pt idx="2">
                  <c:v>Support</c:v>
                </c:pt>
                <c:pt idx="3">
                  <c:v>Management </c:v>
                </c:pt>
              </c:strCache>
            </c:strRef>
          </c:cat>
          <c:val>
            <c:numRef>
              <c:f>Analysis!$B$118:$E$118</c:f>
              <c:numCache>
                <c:formatCode>0.0%</c:formatCode>
                <c:ptCount val="4"/>
                <c:pt idx="0">
                  <c:v>3.7000000000000002E-3</c:v>
                </c:pt>
                <c:pt idx="1">
                  <c:v>0</c:v>
                </c:pt>
                <c:pt idx="2">
                  <c:v>6.7000000000000002E-3</c:v>
                </c:pt>
              </c:numCache>
            </c:numRef>
          </c:val>
        </c:ser>
        <c:dLbls>
          <c:showLegendKey val="0"/>
          <c:showVal val="0"/>
          <c:showCatName val="0"/>
          <c:showSerName val="0"/>
          <c:showPercent val="0"/>
          <c:showBubbleSize val="0"/>
        </c:dLbls>
        <c:gapWidth val="150"/>
        <c:overlap val="100"/>
        <c:axId val="223332608"/>
        <c:axId val="223731712"/>
      </c:barChart>
      <c:catAx>
        <c:axId val="223332608"/>
        <c:scaling>
          <c:orientation val="maxMin"/>
        </c:scaling>
        <c:delete val="0"/>
        <c:axPos val="l"/>
        <c:majorTickMark val="out"/>
        <c:minorTickMark val="none"/>
        <c:tickLblPos val="nextTo"/>
        <c:crossAx val="223731712"/>
        <c:crosses val="autoZero"/>
        <c:auto val="1"/>
        <c:lblAlgn val="ctr"/>
        <c:lblOffset val="100"/>
        <c:noMultiLvlLbl val="0"/>
      </c:catAx>
      <c:valAx>
        <c:axId val="223731712"/>
        <c:scaling>
          <c:orientation val="minMax"/>
          <c:max val="1"/>
        </c:scaling>
        <c:delete val="0"/>
        <c:axPos val="t"/>
        <c:numFmt formatCode="0%" sourceLinked="0"/>
        <c:majorTickMark val="out"/>
        <c:minorTickMark val="none"/>
        <c:tickLblPos val="nextTo"/>
        <c:crossAx val="223332608"/>
        <c:crosses val="autoZero"/>
        <c:crossBetween val="between"/>
      </c:valAx>
    </c:plotArea>
    <c:legend>
      <c:legendPos val="r"/>
      <c:layout>
        <c:manualLayout>
          <c:xMode val="edge"/>
          <c:yMode val="edge"/>
          <c:x val="0.78111263513536766"/>
          <c:y val="0.22087853601633128"/>
          <c:w val="0.21888736486463228"/>
          <c:h val="0.58602034120734903"/>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Arial" pitchFamily="34" charset="0"/>
                <a:cs typeface="Arial" pitchFamily="34" charset="0"/>
              </a:rPr>
              <a:t>Students with a Disability or Learning Difficulty Profile 2011 - 2012</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Student!$G$26</c:f>
              <c:strCache>
                <c:ptCount val="1"/>
                <c:pt idx="0">
                  <c:v>Students with a Disability or Learning Difficulty Profile</c:v>
                </c:pt>
              </c:strCache>
            </c:strRef>
          </c:tx>
          <c:dLbls>
            <c:dLbl>
              <c:idx val="0"/>
              <c:layout>
                <c:manualLayout>
                  <c:x val="-0.12437489063867016"/>
                  <c:y val="-0.2282655293088364"/>
                </c:manualLayout>
              </c:layout>
              <c:tx>
                <c:rich>
                  <a:bodyPr/>
                  <a:lstStyle/>
                  <a:p>
                    <a:r>
                      <a:rPr lang="en-US" b="1">
                        <a:solidFill>
                          <a:schemeClr val="bg1"/>
                        </a:solidFill>
                      </a:rPr>
                      <a:t>78%,21230</a:t>
                    </a:r>
                  </a:p>
                </c:rich>
              </c:tx>
              <c:showLegendKey val="0"/>
              <c:showVal val="1"/>
              <c:showCatName val="0"/>
              <c:showSerName val="0"/>
              <c:showPercent val="0"/>
              <c:showBubbleSize val="0"/>
            </c:dLbl>
            <c:dLbl>
              <c:idx val="1"/>
              <c:tx>
                <c:rich>
                  <a:bodyPr/>
                  <a:lstStyle/>
                  <a:p>
                    <a:r>
                      <a:rPr lang="en-US">
                        <a:solidFill>
                          <a:schemeClr val="bg1"/>
                        </a:solidFill>
                      </a:rPr>
                      <a:t>21%, 5682</a:t>
                    </a:r>
                  </a:p>
                </c:rich>
              </c:tx>
              <c:showLegendKey val="0"/>
              <c:showVal val="1"/>
              <c:showCatName val="0"/>
              <c:showSerName val="0"/>
              <c:showPercent val="0"/>
              <c:showBubbleSize val="0"/>
            </c:dLbl>
            <c:dLbl>
              <c:idx val="2"/>
              <c:layout>
                <c:manualLayout>
                  <c:x val="4.3892169728783903E-2"/>
                  <c:y val="0.10192439486730825"/>
                </c:manualLayout>
              </c:layout>
              <c:tx>
                <c:rich>
                  <a:bodyPr/>
                  <a:lstStyle/>
                  <a:p>
                    <a:r>
                      <a:rPr lang="en-US">
                        <a:solidFill>
                          <a:schemeClr val="bg1"/>
                        </a:solidFill>
                      </a:rPr>
                      <a:t>1%, 427</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Student!$B$27:$B$29</c:f>
              <c:strCache>
                <c:ptCount val="3"/>
                <c:pt idx="0">
                  <c:v>No disability</c:v>
                </c:pt>
                <c:pt idx="1">
                  <c:v>Disability declared</c:v>
                </c:pt>
                <c:pt idx="2">
                  <c:v>Not known</c:v>
                </c:pt>
              </c:strCache>
            </c:strRef>
          </c:cat>
          <c:val>
            <c:numRef>
              <c:f>Student!$G$27:$G$29</c:f>
              <c:numCache>
                <c:formatCode>0%</c:formatCode>
                <c:ptCount val="3"/>
                <c:pt idx="0">
                  <c:v>0.77654632576173233</c:v>
                </c:pt>
                <c:pt idx="1">
                  <c:v>0.20783496104466148</c:v>
                </c:pt>
                <c:pt idx="2">
                  <c:v>1.5618713193606203E-2</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sz="1100" baseline="0"/>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latin typeface="Arial" pitchFamily="34" charset="0"/>
                <a:cs typeface="Arial" pitchFamily="34" charset="0"/>
              </a:rPr>
              <a:t>Student BME Profile</a:t>
            </a:r>
          </a:p>
          <a:p>
            <a:pPr>
              <a:defRPr/>
            </a:pPr>
            <a:r>
              <a:rPr lang="en-GB" sz="1400">
                <a:latin typeface="Arial" pitchFamily="34" charset="0"/>
                <a:cs typeface="Arial" pitchFamily="34" charset="0"/>
              </a:rPr>
              <a:t>2011-2012</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Student!$G$55</c:f>
              <c:strCache>
                <c:ptCount val="1"/>
                <c:pt idx="0">
                  <c:v>Student BME Profile</c:v>
                </c:pt>
              </c:strCache>
            </c:strRef>
          </c:tx>
          <c:dLbls>
            <c:dLbl>
              <c:idx val="0"/>
              <c:layout>
                <c:manualLayout>
                  <c:x val="-0.15221194225721785"/>
                  <c:y val="-0.1795621279047436"/>
                </c:manualLayout>
              </c:layout>
              <c:tx>
                <c:rich>
                  <a:bodyPr/>
                  <a:lstStyle/>
                  <a:p>
                    <a:pPr>
                      <a:defRPr b="1">
                        <a:solidFill>
                          <a:schemeClr val="bg1"/>
                        </a:solidFill>
                      </a:defRPr>
                    </a:pPr>
                    <a:r>
                      <a:rPr lang="en-US" b="1">
                        <a:solidFill>
                          <a:schemeClr val="bg1"/>
                        </a:solidFill>
                      </a:rPr>
                      <a:t>80.1%</a:t>
                    </a:r>
                  </a:p>
                </c:rich>
              </c:tx>
              <c:spPr/>
              <c:showLegendKey val="0"/>
              <c:showVal val="1"/>
              <c:showCatName val="0"/>
              <c:showSerName val="0"/>
              <c:showPercent val="1"/>
              <c:showBubbleSize val="0"/>
            </c:dLbl>
            <c:dLbl>
              <c:idx val="1"/>
              <c:layout>
                <c:manualLayout>
                  <c:x val="9.3336832895888011E-2"/>
                  <c:y val="6.5070097945073943E-2"/>
                </c:manualLayout>
              </c:layout>
              <c:tx>
                <c:rich>
                  <a:bodyPr/>
                  <a:lstStyle/>
                  <a:p>
                    <a:pPr>
                      <a:defRPr b="1">
                        <a:solidFill>
                          <a:schemeClr val="bg1"/>
                        </a:solidFill>
                      </a:defRPr>
                    </a:pPr>
                    <a:r>
                      <a:rPr lang="en-US"/>
                      <a:t>19.9%</a:t>
                    </a:r>
                  </a:p>
                </c:rich>
              </c:tx>
              <c:spPr/>
              <c:showLegendKey val="0"/>
              <c:showVal val="0"/>
              <c:showCatName val="0"/>
              <c:showSerName val="0"/>
              <c:showPercent val="1"/>
              <c:showBubbleSize val="0"/>
            </c:dLbl>
            <c:showLegendKey val="0"/>
            <c:showVal val="0"/>
            <c:showCatName val="0"/>
            <c:showSerName val="0"/>
            <c:showPercent val="1"/>
            <c:showBubbleSize val="0"/>
            <c:showLeaderLines val="1"/>
          </c:dLbls>
          <c:cat>
            <c:strRef>
              <c:f>Student!$B$56:$B$57</c:f>
              <c:strCache>
                <c:ptCount val="2"/>
                <c:pt idx="0">
                  <c:v>White/ Unknown/ Other</c:v>
                </c:pt>
                <c:pt idx="1">
                  <c:v>BME</c:v>
                </c:pt>
              </c:strCache>
            </c:strRef>
          </c:cat>
          <c:val>
            <c:numRef>
              <c:f>Student!$G$56:$G$57</c:f>
              <c:numCache>
                <c:formatCode>0.0%</c:formatCode>
                <c:ptCount val="2"/>
                <c:pt idx="0">
                  <c:v>0.80105344014045876</c:v>
                </c:pt>
                <c:pt idx="1">
                  <c:v>0.19894655985954129</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sz="1100" baseline="0"/>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2011-2012</c:v>
          </c:tx>
          <c:invertIfNegative val="0"/>
          <c:cat>
            <c:strRef>
              <c:f>Student!$B$101:$B$119</c:f>
              <c:strCache>
                <c:ptCount val="19"/>
                <c:pt idx="0">
                  <c:v>Bangladeshi </c:v>
                </c:pt>
                <c:pt idx="1">
                  <c:v>Indian</c:v>
                </c:pt>
                <c:pt idx="2">
                  <c:v>Pakistani</c:v>
                </c:pt>
                <c:pt idx="3">
                  <c:v>Other Asian</c:v>
                </c:pt>
                <c:pt idx="4">
                  <c:v>African</c:v>
                </c:pt>
                <c:pt idx="5">
                  <c:v>Caribbean</c:v>
                </c:pt>
                <c:pt idx="6">
                  <c:v>Other Black</c:v>
                </c:pt>
                <c:pt idx="7">
                  <c:v>Chinese</c:v>
                </c:pt>
                <c:pt idx="8">
                  <c:v>White Asian</c:v>
                </c:pt>
                <c:pt idx="9">
                  <c:v>White/Black African</c:v>
                </c:pt>
                <c:pt idx="10">
                  <c:v>White/Black Caribbean</c:v>
                </c:pt>
                <c:pt idx="11">
                  <c:v>Other mixed</c:v>
                </c:pt>
                <c:pt idx="12">
                  <c:v>Arab</c:v>
                </c:pt>
                <c:pt idx="13">
                  <c:v>White British</c:v>
                </c:pt>
                <c:pt idx="14">
                  <c:v>White Irish</c:v>
                </c:pt>
                <c:pt idx="15">
                  <c:v>Other White</c:v>
                </c:pt>
                <c:pt idx="16">
                  <c:v>Other </c:v>
                </c:pt>
                <c:pt idx="17">
                  <c:v>Not Provided</c:v>
                </c:pt>
                <c:pt idx="18">
                  <c:v>Gypsy/Irish Traveller</c:v>
                </c:pt>
              </c:strCache>
            </c:strRef>
          </c:cat>
          <c:val>
            <c:numRef>
              <c:f>Student!$C$101:$C$119</c:f>
              <c:numCache>
                <c:formatCode>0.0%</c:formatCode>
                <c:ptCount val="19"/>
                <c:pt idx="0">
                  <c:v>0.88200000000000001</c:v>
                </c:pt>
                <c:pt idx="1">
                  <c:v>0.85</c:v>
                </c:pt>
                <c:pt idx="2">
                  <c:v>0.78900000000000003</c:v>
                </c:pt>
                <c:pt idx="3">
                  <c:v>0.751</c:v>
                </c:pt>
                <c:pt idx="4">
                  <c:v>0.874</c:v>
                </c:pt>
                <c:pt idx="5">
                  <c:v>0.82799999999999996</c:v>
                </c:pt>
                <c:pt idx="6">
                  <c:v>0.84699999999999998</c:v>
                </c:pt>
                <c:pt idx="7">
                  <c:v>0.73099999999999998</c:v>
                </c:pt>
                <c:pt idx="8">
                  <c:v>0.80300000000000005</c:v>
                </c:pt>
                <c:pt idx="9">
                  <c:v>0.80400000000000005</c:v>
                </c:pt>
                <c:pt idx="10">
                  <c:v>0</c:v>
                </c:pt>
                <c:pt idx="11">
                  <c:v>0.754</c:v>
                </c:pt>
                <c:pt idx="12">
                  <c:v>0.93799999999999994</c:v>
                </c:pt>
                <c:pt idx="13">
                  <c:v>0.83299999999999996</c:v>
                </c:pt>
                <c:pt idx="14">
                  <c:v>0.81200000000000006</c:v>
                </c:pt>
                <c:pt idx="15">
                  <c:v>0.84</c:v>
                </c:pt>
                <c:pt idx="16">
                  <c:v>0.74099999999999999</c:v>
                </c:pt>
                <c:pt idx="17">
                  <c:v>0.84900000000000009</c:v>
                </c:pt>
                <c:pt idx="18">
                  <c:v>0.83299999999999996</c:v>
                </c:pt>
              </c:numCache>
            </c:numRef>
          </c:val>
        </c:ser>
        <c:ser>
          <c:idx val="1"/>
          <c:order val="1"/>
          <c:tx>
            <c:v>2010-2011</c:v>
          </c:tx>
          <c:invertIfNegative val="0"/>
          <c:cat>
            <c:strRef>
              <c:f>Student!$B$101:$B$119</c:f>
              <c:strCache>
                <c:ptCount val="19"/>
                <c:pt idx="0">
                  <c:v>Bangladeshi </c:v>
                </c:pt>
                <c:pt idx="1">
                  <c:v>Indian</c:v>
                </c:pt>
                <c:pt idx="2">
                  <c:v>Pakistani</c:v>
                </c:pt>
                <c:pt idx="3">
                  <c:v>Other Asian</c:v>
                </c:pt>
                <c:pt idx="4">
                  <c:v>African</c:v>
                </c:pt>
                <c:pt idx="5">
                  <c:v>Caribbean</c:v>
                </c:pt>
                <c:pt idx="6">
                  <c:v>Other Black</c:v>
                </c:pt>
                <c:pt idx="7">
                  <c:v>Chinese</c:v>
                </c:pt>
                <c:pt idx="8">
                  <c:v>White Asian</c:v>
                </c:pt>
                <c:pt idx="9">
                  <c:v>White/Black African</c:v>
                </c:pt>
                <c:pt idx="10">
                  <c:v>White/Black Caribbean</c:v>
                </c:pt>
                <c:pt idx="11">
                  <c:v>Other mixed</c:v>
                </c:pt>
                <c:pt idx="12">
                  <c:v>Arab</c:v>
                </c:pt>
                <c:pt idx="13">
                  <c:v>White British</c:v>
                </c:pt>
                <c:pt idx="14">
                  <c:v>White Irish</c:v>
                </c:pt>
                <c:pt idx="15">
                  <c:v>Other White</c:v>
                </c:pt>
                <c:pt idx="16">
                  <c:v>Other </c:v>
                </c:pt>
                <c:pt idx="17">
                  <c:v>Not Provided</c:v>
                </c:pt>
                <c:pt idx="18">
                  <c:v>Gypsy/Irish Traveller</c:v>
                </c:pt>
              </c:strCache>
            </c:strRef>
          </c:cat>
          <c:val>
            <c:numRef>
              <c:f>Student!$D$101:$D$119</c:f>
              <c:numCache>
                <c:formatCode>0.0%</c:formatCode>
                <c:ptCount val="19"/>
                <c:pt idx="0">
                  <c:v>0.70699999999999996</c:v>
                </c:pt>
                <c:pt idx="1">
                  <c:v>0.81</c:v>
                </c:pt>
                <c:pt idx="2">
                  <c:v>0.74</c:v>
                </c:pt>
                <c:pt idx="3">
                  <c:v>0.68600000000000005</c:v>
                </c:pt>
                <c:pt idx="4">
                  <c:v>0.66700000000000004</c:v>
                </c:pt>
                <c:pt idx="5">
                  <c:v>0.74099999999999999</c:v>
                </c:pt>
                <c:pt idx="6">
                  <c:v>0.69</c:v>
                </c:pt>
                <c:pt idx="7">
                  <c:v>0.73299999999999998</c:v>
                </c:pt>
                <c:pt idx="8">
                  <c:v>0.747</c:v>
                </c:pt>
                <c:pt idx="9">
                  <c:v>0.77900000000000003</c:v>
                </c:pt>
                <c:pt idx="10">
                  <c:v>0.72899999999999998</c:v>
                </c:pt>
                <c:pt idx="11">
                  <c:v>0.753</c:v>
                </c:pt>
                <c:pt idx="12">
                  <c:v>0</c:v>
                </c:pt>
                <c:pt idx="13">
                  <c:v>0.82299999999999995</c:v>
                </c:pt>
                <c:pt idx="14">
                  <c:v>0.78600000000000003</c:v>
                </c:pt>
                <c:pt idx="15">
                  <c:v>0.746</c:v>
                </c:pt>
                <c:pt idx="16">
                  <c:v>0.65100000000000002</c:v>
                </c:pt>
                <c:pt idx="17">
                  <c:v>0.84899999999999998</c:v>
                </c:pt>
                <c:pt idx="18">
                  <c:v>0</c:v>
                </c:pt>
              </c:numCache>
            </c:numRef>
          </c:val>
        </c:ser>
        <c:dLbls>
          <c:showLegendKey val="0"/>
          <c:showVal val="0"/>
          <c:showCatName val="0"/>
          <c:showSerName val="0"/>
          <c:showPercent val="0"/>
          <c:showBubbleSize val="0"/>
        </c:dLbls>
        <c:gapWidth val="150"/>
        <c:axId val="225170176"/>
        <c:axId val="225171712"/>
      </c:barChart>
      <c:catAx>
        <c:axId val="225170176"/>
        <c:scaling>
          <c:orientation val="minMax"/>
        </c:scaling>
        <c:delete val="0"/>
        <c:axPos val="b"/>
        <c:majorTickMark val="out"/>
        <c:minorTickMark val="none"/>
        <c:tickLblPos val="nextTo"/>
        <c:crossAx val="225171712"/>
        <c:crosses val="autoZero"/>
        <c:auto val="1"/>
        <c:lblAlgn val="ctr"/>
        <c:lblOffset val="100"/>
        <c:noMultiLvlLbl val="0"/>
      </c:catAx>
      <c:valAx>
        <c:axId val="225171712"/>
        <c:scaling>
          <c:orientation val="minMax"/>
        </c:scaling>
        <c:delete val="0"/>
        <c:axPos val="l"/>
        <c:majorGridlines/>
        <c:numFmt formatCode="0.0%" sourceLinked="1"/>
        <c:majorTickMark val="out"/>
        <c:minorTickMark val="none"/>
        <c:tickLblPos val="nextTo"/>
        <c:crossAx val="22517017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32B3-6A3F-47D3-A0D3-D9E324F4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 Chappell</cp:lastModifiedBy>
  <cp:revision>6</cp:revision>
  <cp:lastPrinted>2013-01-15T13:54:00Z</cp:lastPrinted>
  <dcterms:created xsi:type="dcterms:W3CDTF">2013-01-15T14:53:00Z</dcterms:created>
  <dcterms:modified xsi:type="dcterms:W3CDTF">2013-03-07T15:33:00Z</dcterms:modified>
</cp:coreProperties>
</file>